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79" w:after="0"/>
        <w:ind w:right="254"/>
        <w:jc w:val="right"/>
        <w:rPr>
          <w:b/>
        </w:rPr>
      </w:pPr>
      <w:r>
        <w:rPr>
          <w:b/>
        </w:rPr>
        <w:t>(Allegato</w:t>
      </w:r>
      <w:r>
        <w:rPr>
          <w:b/>
          <w:spacing w:val="-5"/>
        </w:rPr>
        <w:t xml:space="preserve"> 1)</w:t>
      </w:r>
    </w:p>
    <w:p>
      <w:pPr>
        <w:pStyle w:val="BodyText"/>
        <w:spacing w:before="10" w:after="0"/>
        <w:rPr>
          <w:b/>
          <w:sz w:val="9"/>
        </w:rPr>
      </w:pPr>
      <w:r>
        <w:rPr>
          <w:b/>
          <w:sz w:val="9"/>
        </w:rPr>
        <mc:AlternateContent>
          <mc:Choice Requires="wps">
            <w:drawing>
              <wp:anchor distT="0" distB="635" distL="0" distR="0" simplePos="0" relativeHeight="17" behindDoc="1" locked="0" layoutInCell="0" allowOverlap="1">
                <wp:simplePos x="0" y="0"/>
                <wp:positionH relativeFrom="page">
                  <wp:posOffset>593090</wp:posOffset>
                </wp:positionH>
                <wp:positionV relativeFrom="paragraph">
                  <wp:posOffset>92710</wp:posOffset>
                </wp:positionV>
                <wp:extent cx="6202680" cy="926465"/>
                <wp:effectExtent l="0" t="1270" r="0" b="0"/>
                <wp:wrapTopAndBottom/>
                <wp:docPr id="1" name="Cornice1"/>
                <a:graphic xmlns:a="http://schemas.openxmlformats.org/drawingml/2006/main">
                  <a:graphicData uri="http://schemas.microsoft.com/office/word/2010/wordprocessingShape">
                    <wps:wsp>
                      <wps:cNvSpPr/>
                      <wps:spPr>
                        <a:xfrm>
                          <a:off x="0" y="0"/>
                          <a:ext cx="6202800" cy="926640"/>
                        </a:xfrm>
                        <a:prstGeom prst="rect">
                          <a:avLst/>
                        </a:prstGeom>
                        <a:solidFill>
                          <a:srgbClr val="F0F0F0"/>
                        </a:solidFill>
                        <a:ln w="0">
                          <a:solidFill>
                            <a:srgbClr val="00007E"/>
                          </a:solidFill>
                        </a:ln>
                      </wps:spPr>
                      <wps:style>
                        <a:lnRef idx="0"/>
                        <a:fillRef idx="0"/>
                        <a:effectRef idx="0"/>
                        <a:fontRef idx="minor"/>
                      </wps:style>
                      <wps:txbx>
                        <w:txbxContent>
                          <w:p>
                            <w:pPr>
                              <w:pStyle w:val="Contenutocorniceuser"/>
                              <w:jc w:val="center"/>
                              <w:rPr/>
                            </w:pPr>
                            <w:r>
                              <w:rPr/>
                              <w:t>AVVISO PUBBLICO PER L’INDIVIDUAZIONE  DI MERCATINI DEI NON PROFESSIONISTI DA SVOLGERSI NEL CENTRO STORICO DEL COMUNE DI VOLTERRA PERIODO 1 MARZO – 31 OTTOBRE 202</w:t>
                            </w:r>
                            <w:r>
                              <w:rPr/>
                              <w:t>7</w:t>
                            </w:r>
                          </w:p>
                          <w:p>
                            <w:pPr>
                              <w:pStyle w:val="Contenutocorniceuser"/>
                              <w:spacing w:before="55" w:after="0"/>
                              <w:ind w:left="1"/>
                              <w:jc w:val="center"/>
                              <w:rPr>
                                <w:color w:val="000000"/>
                              </w:rPr>
                            </w:pPr>
                            <w:r>
                              <w:rPr>
                                <w:color w:val="000000"/>
                              </w:rPr>
                              <w:t xml:space="preserve">MODULO DOMANDA </w:t>
                            </w:r>
                          </w:p>
                        </w:txbxContent>
                      </wps:txbx>
                      <wps:bodyPr lIns="0" tIns="0" rIns="0" bIns="0" anchor="t">
                        <a:noAutofit/>
                      </wps:bodyPr>
                    </wps:wsp>
                  </a:graphicData>
                </a:graphic>
              </wp:anchor>
            </w:drawing>
          </mc:Choice>
          <mc:Fallback>
            <w:pict>
              <v:rect id="shape_0" fillcolor="#f0f0f0" stroked="t" o:allowincell="f" style="position:absolute;margin-left:46.7pt;margin-top:7.3pt;width:488.35pt;height:72.9pt;mso-wrap-style:square;v-text-anchor:top;mso-position-horizontal-relative:page">
                <v:fill o:detectmouseclick="t" type="solid" color2="#0f0f0f"/>
                <v:stroke color="#00007e" joinstyle="round" endcap="flat"/>
                <v:textbox>
                  <w:txbxContent>
                    <w:p>
                      <w:pPr>
                        <w:pStyle w:val="Contenutocorniceuser"/>
                        <w:jc w:val="center"/>
                        <w:rPr/>
                      </w:pPr>
                      <w:r>
                        <w:rPr/>
                        <w:t>AVVISO PUBBLICO PER L’INDIVIDUAZIONE  DI MERCATINI DEI NON PROFESSIONISTI DA SVOLGERSI NEL CENTRO STORICO DEL COMUNE DI VOLTERRA PERIODO 1 MARZO – 31 OTTOBRE 202</w:t>
                      </w:r>
                      <w:r>
                        <w:rPr/>
                        <w:t>7</w:t>
                      </w:r>
                    </w:p>
                    <w:p>
                      <w:pPr>
                        <w:pStyle w:val="Contenutocorniceuser"/>
                        <w:spacing w:before="55" w:after="0"/>
                        <w:ind w:left="1"/>
                        <w:jc w:val="center"/>
                        <w:rPr>
                          <w:color w:val="000000"/>
                        </w:rPr>
                      </w:pPr>
                      <w:r>
                        <w:rPr>
                          <w:color w:val="000000"/>
                        </w:rPr>
                        <w:t xml:space="preserve">MODULO DOMANDA </w:t>
                      </w:r>
                    </w:p>
                  </w:txbxContent>
                </v:textbox>
                <w10:wrap type="topAndBottom"/>
              </v:rect>
            </w:pict>
          </mc:Fallback>
        </mc:AlternateContent>
      </w:r>
    </w:p>
    <w:p>
      <w:pPr>
        <w:pStyle w:val="BodyText"/>
        <w:rPr>
          <w:b/>
        </w:rPr>
      </w:pPr>
      <w:r>
        <w:rPr>
          <w:b/>
        </w:rPr>
      </w:r>
    </w:p>
    <w:p>
      <w:pPr>
        <w:pStyle w:val="BodyText"/>
        <w:spacing w:before="64" w:after="0"/>
        <w:rPr>
          <w:b/>
        </w:rPr>
      </w:pPr>
      <w:r>
        <w:rPr>
          <w:b/>
        </w:rPr>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09" w:leader="none"/>
          <w:tab w:val="left" w:pos="4857" w:leader="none"/>
          <w:tab w:val="left" w:pos="5231" w:leader="none"/>
          <w:tab w:val="left" w:pos="5605" w:leader="none"/>
          <w:tab w:val="left" w:pos="5979" w:leader="none"/>
          <w:tab w:val="left" w:pos="6353" w:leader="none"/>
          <w:tab w:val="left" w:pos="6477" w:leader="none"/>
          <w:tab w:val="left" w:pos="6725" w:leader="none"/>
          <w:tab w:val="left" w:pos="7099" w:leader="none"/>
          <w:tab w:val="left" w:pos="7473" w:leader="none"/>
          <w:tab w:val="left" w:pos="7833" w:leader="none"/>
          <w:tab w:val="left" w:pos="9923" w:leader="none"/>
          <w:tab w:val="left" w:pos="10018" w:leader="none"/>
        </w:tabs>
        <w:spacing w:lineRule="auto" w:line="446"/>
        <w:ind w:left="67" w:right="43"/>
        <w:rPr>
          <w:sz w:val="28"/>
          <w:szCs w:val="28"/>
        </w:rPr>
      </w:pPr>
      <w:r>
        <w:rPr>
          <w:sz w:val="28"/>
          <w:szCs w:val="28"/>
        </w:rPr>
        <w:t xml:space="preserve">Il/la sottoscritto/a </w:t>
      </w:r>
      <w:r>
        <w:rPr>
          <w:sz w:val="28"/>
          <w:szCs w:val="28"/>
          <w:u w:val="single"/>
        </w:rPr>
        <w:tab/>
        <w:tab/>
        <w:tab/>
        <w:tab/>
        <w:tab/>
        <w:tab/>
        <w:tab/>
        <w:tab/>
        <w:tab/>
        <w:tab/>
        <w:tab/>
        <w:tab/>
        <w:tab/>
        <w:tab/>
        <w:tab/>
        <w:tab/>
        <w:tab/>
        <w:tab/>
        <w:tab/>
        <w:tab/>
        <w:tab/>
      </w:r>
      <w:r>
        <w:rPr>
          <w:sz w:val="28"/>
          <w:szCs w:val="28"/>
        </w:rPr>
        <w:t xml:space="preserve"> nato/a a </w:t>
      </w:r>
      <w:r>
        <w:rPr>
          <w:sz w:val="28"/>
          <w:szCs w:val="28"/>
          <w:u w:val="single"/>
        </w:rPr>
        <w:tab/>
        <w:tab/>
        <w:tab/>
        <w:tab/>
        <w:tab/>
        <w:tab/>
        <w:tab/>
        <w:tab/>
        <w:tab/>
        <w:tab/>
        <w:tab/>
        <w:tab/>
        <w:tab/>
        <w:tab/>
        <w:tab/>
      </w:r>
      <w:r>
        <w:rPr>
          <w:spacing w:val="-2"/>
          <w:sz w:val="28"/>
          <w:szCs w:val="28"/>
        </w:rPr>
        <w:t>(Prov.</w:t>
      </w:r>
      <w:r>
        <w:rPr>
          <w:sz w:val="28"/>
          <w:szCs w:val="28"/>
          <w:u w:val="single"/>
        </w:rPr>
        <w:tab/>
        <w:tab/>
        <w:tab/>
      </w:r>
      <w:r>
        <w:rPr>
          <w:sz w:val="28"/>
          <w:szCs w:val="28"/>
        </w:rPr>
        <w:t xml:space="preserve">) il </w:t>
      </w:r>
      <w:r>
        <w:rPr>
          <w:sz w:val="28"/>
          <w:szCs w:val="28"/>
          <w:u w:val="single"/>
        </w:rPr>
        <w:tab/>
      </w:r>
      <w:r>
        <w:rPr>
          <w:sz w:val="28"/>
          <w:szCs w:val="28"/>
        </w:rPr>
        <w:t xml:space="preserve"> residente a </w:t>
      </w:r>
      <w:r>
        <w:rPr>
          <w:sz w:val="28"/>
          <w:szCs w:val="28"/>
          <w:u w:val="single"/>
        </w:rPr>
        <w:tab/>
        <w:tab/>
        <w:tab/>
        <w:tab/>
        <w:tab/>
        <w:tab/>
        <w:tab/>
        <w:tab/>
        <w:tab/>
      </w:r>
      <w:r>
        <w:rPr>
          <w:sz w:val="28"/>
          <w:szCs w:val="28"/>
        </w:rPr>
        <w:t xml:space="preserve">Via/Piazza </w:t>
      </w:r>
      <w:r>
        <w:rPr>
          <w:sz w:val="28"/>
          <w:szCs w:val="28"/>
          <w:u w:val="single"/>
        </w:rPr>
        <w:tab/>
        <w:tab/>
        <w:tab/>
        <w:tab/>
        <w:tab/>
        <w:tab/>
        <w:tab/>
        <w:tab/>
      </w:r>
      <w:r>
        <w:rPr>
          <w:sz w:val="28"/>
          <w:szCs w:val="28"/>
        </w:rPr>
        <w:t xml:space="preserve"> Codice Fiscale</w:t>
        <w:tab/>
      </w:r>
      <w:r>
        <w:rPr>
          <w:spacing w:val="-10"/>
          <w:sz w:val="28"/>
          <w:szCs w:val="28"/>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z w:val="28"/>
          <w:szCs w:val="28"/>
        </w:rPr>
        <w:t>|</w:t>
      </w:r>
    </w:p>
    <w:p>
      <w:pPr>
        <w:pStyle w:val="BodyText"/>
        <w:tabs>
          <w:tab w:val="clear" w:pos="720"/>
          <w:tab w:val="left" w:pos="4823" w:leader="none"/>
          <w:tab w:val="left" w:pos="9887" w:leader="none"/>
        </w:tabs>
        <w:spacing w:lineRule="exact" w:line="249"/>
        <w:ind w:left="67"/>
        <w:rPr>
          <w:sz w:val="28"/>
          <w:szCs w:val="28"/>
        </w:rPr>
      </w:pPr>
      <w:r>
        <w:rPr>
          <w:sz w:val="28"/>
          <w:szCs w:val="28"/>
        </w:rPr>
        <w:t xml:space="preserve">Tel. </w:t>
      </w:r>
      <w:r>
        <w:rPr>
          <w:sz w:val="28"/>
          <w:szCs w:val="28"/>
          <w:u w:val="single"/>
        </w:rPr>
        <w:tab/>
      </w:r>
      <w:r>
        <w:rPr>
          <w:sz w:val="28"/>
          <w:szCs w:val="28"/>
        </w:rPr>
        <w:t>Cell.</w:t>
      </w:r>
      <w:r>
        <w:rPr>
          <w:sz w:val="28"/>
          <w:szCs w:val="28"/>
          <w:u w:val="single"/>
        </w:rPr>
        <w:tab/>
      </w:r>
    </w:p>
    <w:p>
      <w:pPr>
        <w:pStyle w:val="Normal"/>
        <w:spacing w:before="217" w:after="0"/>
        <w:ind w:left="67"/>
        <w:rPr>
          <w:b/>
          <w:spacing w:val="-5"/>
        </w:rPr>
      </w:pPr>
      <w:r>
        <w:rPr>
          <w:b/>
        </w:rPr>
        <w:t xml:space="preserve">In qualità </w:t>
      </w:r>
      <w:r>
        <w:rPr>
          <w:b/>
          <w:spacing w:val="-5"/>
        </w:rPr>
        <w:t>di:</w:t>
      </w:r>
    </w:p>
    <w:p>
      <w:pPr>
        <w:pStyle w:val="Normal"/>
        <w:spacing w:before="217" w:after="0"/>
        <w:ind w:left="67"/>
        <w:rPr>
          <w:b/>
        </w:rPr>
      </w:pPr>
      <w:r>
        <w:rPr>
          <w:b/>
        </w:rPr>
      </w:r>
    </w:p>
    <w:p>
      <w:pPr>
        <w:pStyle w:val="Normal"/>
        <w:spacing w:before="112" w:after="0"/>
        <w:ind w:left="350"/>
        <w:rPr>
          <w:b/>
        </w:rPr>
      </w:pPr>
      <w:r>
        <w:rPr>
          <w:rFonts w:ascii="Marlett" w:hAnsi="Marlett"/>
        </w:rPr>
        <w:t></w:t>
      </w:r>
      <w:r>
        <w:rPr>
          <w:b/>
        </w:rPr>
        <w:t xml:space="preserve">Legale rappresentante della </w:t>
      </w:r>
      <w:r>
        <w:rPr>
          <w:b/>
          <w:spacing w:val="-2"/>
        </w:rPr>
        <w:t>Associazione</w:t>
      </w:r>
    </w:p>
    <w:p>
      <w:pPr>
        <w:pStyle w:val="Normal"/>
        <w:spacing w:before="115" w:after="0"/>
        <w:ind w:left="350"/>
        <w:rPr/>
      </w:pPr>
      <w:r>
        <w:rPr>
          <w:rFonts w:ascii="Marlett" w:hAnsi="Marlett"/>
        </w:rPr>
        <w:t></w:t>
      </w:r>
      <w:r>
        <w:rPr>
          <w:b/>
        </w:rPr>
        <w:t xml:space="preserve">Legale rappresentante Ente del Terzo settore </w:t>
      </w:r>
      <w:r>
        <w:rPr/>
        <w:t>ai sensi dell’art.4 del D.Lgs.n.</w:t>
      </w:r>
      <w:r>
        <w:rPr>
          <w:spacing w:val="-2"/>
        </w:rPr>
        <w:t>117/2017</w:t>
      </w:r>
    </w:p>
    <w:p>
      <w:pPr>
        <w:pStyle w:val="Normal"/>
        <w:tabs>
          <w:tab w:val="clear" w:pos="720"/>
          <w:tab w:val="left" w:pos="9948" w:leader="none"/>
        </w:tabs>
        <w:spacing w:before="112" w:after="0"/>
        <w:ind w:left="350"/>
        <w:rPr/>
      </w:pPr>
      <w:r>
        <w:rPr>
          <w:rFonts w:ascii="Marlett" w:hAnsi="Marlett"/>
        </w:rPr>
        <w:t></w:t>
      </w:r>
      <w:r>
        <w:rPr>
          <w:b/>
        </w:rPr>
        <w:t xml:space="preserve">Altro </w:t>
      </w:r>
      <w:r>
        <w:rPr>
          <w:u w:val="single"/>
        </w:rPr>
        <w:tab/>
      </w:r>
    </w:p>
    <w:p>
      <w:pPr>
        <w:pStyle w:val="BodyText"/>
        <w:spacing w:before="106" w:after="0"/>
        <w:rPr/>
      </w:pPr>
      <w:r>
        <w:rPr/>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4913" w:leader="none"/>
          <w:tab w:val="left" w:pos="5231" w:leader="none"/>
          <w:tab w:val="left" w:pos="5605" w:leader="none"/>
          <w:tab w:val="left" w:pos="5979" w:leader="none"/>
          <w:tab w:val="left" w:pos="6353" w:leader="none"/>
          <w:tab w:val="left" w:pos="6725" w:leader="none"/>
          <w:tab w:val="left" w:pos="7099" w:leader="none"/>
          <w:tab w:val="left" w:pos="7473" w:leader="none"/>
          <w:tab w:val="left" w:pos="7845" w:leader="none"/>
          <w:tab w:val="left" w:pos="8575" w:leader="none"/>
          <w:tab w:val="left" w:pos="8741" w:leader="none"/>
          <w:tab w:val="left" w:pos="9283" w:leader="none"/>
          <w:tab w:val="left" w:pos="9921" w:leader="none"/>
          <w:tab w:val="left" w:pos="9991" w:leader="none"/>
        </w:tabs>
        <w:spacing w:lineRule="auto" w:line="446"/>
        <w:ind w:left="67" w:right="70"/>
        <w:rPr>
          <w:sz w:val="28"/>
          <w:szCs w:val="28"/>
          <w:u w:val="single"/>
        </w:rPr>
      </w:pPr>
      <w:r>
        <w:rPr>
          <w:sz w:val="28"/>
          <w:szCs w:val="28"/>
        </w:rPr>
        <w:t xml:space="preserve">con denominazione </w:t>
      </w:r>
      <w:r>
        <w:rPr>
          <w:sz w:val="28"/>
          <w:szCs w:val="28"/>
          <w:u w:val="single"/>
        </w:rPr>
        <w:tab/>
        <w:tab/>
        <w:tab/>
        <w:tab/>
        <w:tab/>
        <w:tab/>
        <w:tab/>
        <w:tab/>
        <w:tab/>
        <w:tab/>
        <w:tab/>
        <w:tab/>
        <w:tab/>
        <w:tab/>
        <w:tab/>
        <w:tab/>
        <w:tab/>
        <w:tab/>
        <w:tab/>
        <w:tab/>
        <w:tab/>
        <w:tab/>
        <w:tab/>
      </w:r>
      <w:r>
        <w:rPr>
          <w:sz w:val="28"/>
          <w:szCs w:val="28"/>
        </w:rPr>
        <w:t xml:space="preserve"> con sede legale in Via/Piazza </w:t>
      </w:r>
      <w:r>
        <w:rPr>
          <w:sz w:val="28"/>
          <w:szCs w:val="28"/>
          <w:u w:val="single"/>
        </w:rPr>
        <w:tab/>
        <w:tab/>
        <w:tab/>
        <w:tab/>
        <w:tab/>
        <w:tab/>
        <w:tab/>
        <w:tab/>
        <w:tab/>
        <w:tab/>
        <w:tab/>
        <w:tab/>
        <w:tab/>
        <w:tab/>
        <w:tab/>
        <w:tab/>
        <w:tab/>
      </w:r>
      <w:r>
        <w:rPr>
          <w:sz w:val="28"/>
          <w:szCs w:val="28"/>
        </w:rPr>
        <w:t xml:space="preserve">n. </w:t>
      </w:r>
      <w:r>
        <w:rPr>
          <w:sz w:val="28"/>
          <w:szCs w:val="28"/>
          <w:u w:val="single"/>
        </w:rPr>
        <w:tab/>
        <w:tab/>
      </w:r>
      <w:r>
        <w:rPr>
          <w:sz w:val="28"/>
          <w:szCs w:val="28"/>
        </w:rPr>
        <w:t xml:space="preserve"> Comune </w:t>
      </w:r>
      <w:r>
        <w:rPr>
          <w:sz w:val="28"/>
          <w:szCs w:val="28"/>
          <w:u w:val="single"/>
        </w:rPr>
        <w:tab/>
        <w:tab/>
        <w:tab/>
        <w:tab/>
        <w:tab/>
        <w:tab/>
        <w:tab/>
        <w:tab/>
        <w:tab/>
        <w:tab/>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4913" w:leader="none"/>
          <w:tab w:val="left" w:pos="5231" w:leader="none"/>
          <w:tab w:val="left" w:pos="5605" w:leader="none"/>
          <w:tab w:val="left" w:pos="5979" w:leader="none"/>
          <w:tab w:val="left" w:pos="6353" w:leader="none"/>
          <w:tab w:val="left" w:pos="6725" w:leader="none"/>
          <w:tab w:val="left" w:pos="7099" w:leader="none"/>
          <w:tab w:val="left" w:pos="7473" w:leader="none"/>
          <w:tab w:val="left" w:pos="7845" w:leader="none"/>
          <w:tab w:val="left" w:pos="8575" w:leader="none"/>
          <w:tab w:val="left" w:pos="8741" w:leader="none"/>
          <w:tab w:val="left" w:pos="9283" w:leader="none"/>
          <w:tab w:val="left" w:pos="9921" w:leader="none"/>
          <w:tab w:val="left" w:pos="9991" w:leader="none"/>
        </w:tabs>
        <w:spacing w:lineRule="auto" w:line="446"/>
        <w:ind w:left="67" w:right="70"/>
        <w:rPr>
          <w:spacing w:val="-10"/>
          <w:sz w:val="28"/>
          <w:szCs w:val="28"/>
          <w:u w:val="single"/>
        </w:rPr>
      </w:pPr>
      <w:r>
        <w:rPr>
          <w:sz w:val="28"/>
          <w:szCs w:val="28"/>
          <w:u w:val="single"/>
        </w:rPr>
        <w:t>P</w:t>
      </w:r>
      <w:r>
        <w:rPr>
          <w:sz w:val="28"/>
          <w:szCs w:val="28"/>
        </w:rPr>
        <w:t>rov. |</w:t>
      </w:r>
      <w:r>
        <w:rPr>
          <w:sz w:val="28"/>
          <w:szCs w:val="28"/>
          <w:u w:val="single"/>
        </w:rPr>
        <w:t>|</w:t>
        <w:tab/>
        <w:t xml:space="preserve">| </w:t>
      </w:r>
      <w:r>
        <w:rPr>
          <w:sz w:val="28"/>
          <w:szCs w:val="28"/>
        </w:rPr>
        <w:t>C.A.P.|</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4913" w:leader="none"/>
          <w:tab w:val="left" w:pos="5231" w:leader="none"/>
          <w:tab w:val="left" w:pos="5605" w:leader="none"/>
          <w:tab w:val="left" w:pos="5979" w:leader="none"/>
          <w:tab w:val="left" w:pos="6353" w:leader="none"/>
          <w:tab w:val="left" w:pos="6725" w:leader="none"/>
          <w:tab w:val="left" w:pos="7099" w:leader="none"/>
          <w:tab w:val="left" w:pos="7473" w:leader="none"/>
          <w:tab w:val="left" w:pos="7845" w:leader="none"/>
          <w:tab w:val="left" w:pos="8575" w:leader="none"/>
          <w:tab w:val="left" w:pos="8741" w:leader="none"/>
          <w:tab w:val="left" w:pos="9283" w:leader="none"/>
          <w:tab w:val="left" w:pos="9921" w:leader="none"/>
          <w:tab w:val="left" w:pos="9991" w:leader="none"/>
        </w:tabs>
        <w:spacing w:lineRule="auto" w:line="446"/>
        <w:ind w:left="67" w:right="70"/>
        <w:rPr>
          <w:sz w:val="28"/>
          <w:szCs w:val="28"/>
        </w:rPr>
      </w:pPr>
      <w:r>
        <w:rPr>
          <w:sz w:val="28"/>
          <w:szCs w:val="28"/>
        </w:rPr>
        <w:t>Codice Fiscale</w:t>
        <w:tab/>
      </w:r>
      <w:r>
        <w:rPr>
          <w:spacing w:val="-10"/>
          <w:sz w:val="28"/>
          <w:szCs w:val="28"/>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rPr>
        <w:t>|</w:t>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5231" w:leader="none"/>
          <w:tab w:val="left" w:pos="5605" w:leader="none"/>
          <w:tab w:val="left" w:pos="5977" w:leader="none"/>
        </w:tabs>
        <w:spacing w:lineRule="exact" w:line="251"/>
        <w:ind w:left="67"/>
        <w:rPr>
          <w:sz w:val="28"/>
          <w:szCs w:val="28"/>
        </w:rPr>
      </w:pPr>
      <w:r>
        <w:rPr>
          <w:sz w:val="28"/>
          <w:szCs w:val="28"/>
        </w:rPr>
        <w:t>Partita</w:t>
      </w:r>
      <w:r>
        <w:rPr>
          <w:spacing w:val="-2"/>
          <w:sz w:val="28"/>
          <w:szCs w:val="28"/>
        </w:rPr>
        <w:t>I.V.A.</w:t>
      </w:r>
      <w:r>
        <w:rPr>
          <w:sz w:val="28"/>
          <w:szCs w:val="28"/>
        </w:rPr>
        <w:tab/>
      </w:r>
      <w:r>
        <w:rPr>
          <w:spacing w:val="-10"/>
          <w:sz w:val="28"/>
          <w:szCs w:val="28"/>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rPr>
        <w:t>|</w:t>
      </w:r>
    </w:p>
    <w:p>
      <w:pPr>
        <w:pStyle w:val="BodyText"/>
        <w:tabs>
          <w:tab w:val="clear" w:pos="720"/>
          <w:tab w:val="left" w:pos="10010" w:leader="none"/>
        </w:tabs>
        <w:spacing w:before="217" w:after="0"/>
        <w:ind w:left="67"/>
        <w:rPr>
          <w:sz w:val="28"/>
          <w:szCs w:val="28"/>
        </w:rPr>
      </w:pPr>
      <w:r>
        <w:rPr>
          <w:sz w:val="28"/>
          <w:szCs w:val="28"/>
        </w:rPr>
        <w:t>Iscritta al Registro delle imprese presso la C.C.I.A.A. di</w:t>
      </w:r>
      <w:r>
        <w:rPr>
          <w:sz w:val="28"/>
          <w:szCs w:val="28"/>
          <w:u w:val="single"/>
        </w:rPr>
        <w:tab/>
      </w:r>
    </w:p>
    <w:p>
      <w:pPr>
        <w:pStyle w:val="BodyText"/>
        <w:tabs>
          <w:tab w:val="clear" w:pos="720"/>
          <w:tab w:val="left" w:pos="4909" w:leader="none"/>
          <w:tab w:val="left" w:pos="10017" w:leader="none"/>
        </w:tabs>
        <w:spacing w:before="217" w:after="0"/>
        <w:ind w:left="67"/>
        <w:rPr>
          <w:sz w:val="28"/>
          <w:szCs w:val="28"/>
        </w:rPr>
      </w:pPr>
      <w:r>
        <w:rPr>
          <w:sz w:val="28"/>
          <w:szCs w:val="28"/>
        </w:rPr>
        <w:t xml:space="preserve">PEC </w:t>
      </w:r>
      <w:r>
        <w:rPr>
          <w:sz w:val="28"/>
          <w:szCs w:val="28"/>
          <w:u w:val="single"/>
        </w:rPr>
        <w:tab/>
      </w:r>
      <w:r>
        <w:rPr>
          <w:spacing w:val="-2"/>
          <w:sz w:val="28"/>
          <w:szCs w:val="28"/>
        </w:rPr>
        <w:t>e-</w:t>
      </w:r>
      <w:r>
        <w:rPr>
          <w:sz w:val="28"/>
          <w:szCs w:val="28"/>
        </w:rPr>
        <w:t xml:space="preserve">mail </w:t>
      </w:r>
      <w:r>
        <w:rPr>
          <w:sz w:val="28"/>
          <w:szCs w:val="28"/>
          <w:u w:val="single"/>
        </w:rPr>
        <w:tab/>
      </w:r>
    </w:p>
    <w:p>
      <w:pPr>
        <w:pStyle w:val="BodyText"/>
        <w:spacing w:before="126" w:after="0"/>
        <w:rPr/>
      </w:pPr>
      <w:r>
        <w:rPr/>
      </w:r>
    </w:p>
    <w:p>
      <w:pPr>
        <w:pStyle w:val="Heading1"/>
        <w:ind w:left="0" w:right="54"/>
        <w:rPr/>
      </w:pPr>
      <w:r>
        <w:rPr>
          <w:spacing w:val="-4"/>
        </w:rPr>
        <w:t xml:space="preserve">PRESENTA </w:t>
      </w:r>
      <w:r>
        <w:rPr>
          <w:spacing w:val="-2"/>
        </w:rPr>
        <w:t>DOMANDA</w:t>
      </w:r>
    </w:p>
    <w:p>
      <w:pPr>
        <w:pStyle w:val="BodyText"/>
        <w:rPr>
          <w:b/>
        </w:rPr>
      </w:pPr>
      <w:r>
        <w:rPr>
          <w:b/>
        </w:rPr>
      </w:r>
    </w:p>
    <w:p>
      <w:pPr>
        <w:pStyle w:val="BodyText"/>
        <w:ind w:left="67"/>
        <w:jc w:val="both"/>
        <w:rPr>
          <w:sz w:val="28"/>
          <w:szCs w:val="28"/>
        </w:rPr>
      </w:pPr>
      <w:r>
        <w:rPr>
          <w:sz w:val="28"/>
          <w:szCs w:val="28"/>
        </w:rPr>
        <w:t xml:space="preserve">Al fine di partecipare all’Avviso Pubblico per l’organizzazione e la gestione di mercatini dei non professionisti da svolgersi nel Centro Storico, da inserire nel calendario degli eventi del Comune di Volterra nel periodo dal 1 marzo al 31 ottobre 2027 con l’evento: </w:t>
      </w:r>
    </w:p>
    <w:p>
      <w:pPr>
        <w:pStyle w:val="BodyText"/>
        <w:spacing w:before="8" w:after="0"/>
        <w:rPr>
          <w:b/>
          <w:sz w:val="28"/>
          <w:szCs w:val="28"/>
        </w:rPr>
      </w:pPr>
      <w:r>
        <w:rPr>
          <w:b/>
          <w:sz w:val="28"/>
          <w:szCs w:val="28"/>
        </w:rPr>
      </w:r>
    </w:p>
    <w:p>
      <w:pPr>
        <w:pStyle w:val="BodyText"/>
        <w:tabs>
          <w:tab w:val="clear" w:pos="720"/>
          <w:tab w:val="left" w:pos="9923" w:leader="none"/>
        </w:tabs>
        <w:spacing w:lineRule="auto" w:line="408"/>
        <w:ind w:left="67" w:right="119"/>
        <w:jc w:val="both"/>
        <w:rPr>
          <w:u w:val="single"/>
        </w:rPr>
      </w:pPr>
      <w:r>
        <w:rPr>
          <w:sz w:val="28"/>
          <w:szCs w:val="28"/>
        </w:rPr>
        <w:t>Denominato:</w:t>
      </w:r>
      <w:r>
        <w:rPr>
          <w:sz w:val="28"/>
          <w:szCs w:val="28"/>
          <w:u w:val="single"/>
        </w:rPr>
        <w:tab/>
      </w:r>
      <w:r>
        <w:rPr/>
        <w:t xml:space="preserve"> </w:t>
      </w:r>
      <w:r>
        <w:rPr>
          <w:sz w:val="28"/>
          <w:szCs w:val="28"/>
        </w:rPr>
        <w:t xml:space="preserve">Ubicazione: </w:t>
      </w:r>
      <w:r>
        <w:rPr>
          <w:sz w:val="28"/>
          <w:szCs w:val="28"/>
          <w:u w:val="single"/>
        </w:rPr>
        <w:tab/>
      </w:r>
      <w:r>
        <w:rPr>
          <w:sz w:val="28"/>
          <w:szCs w:val="28"/>
        </w:rPr>
        <w:t xml:space="preserve"> Data di svolgimento:</w:t>
      </w:r>
      <w:r>
        <w:rPr/>
        <w:t xml:space="preserve"> </w:t>
      </w:r>
      <w:r>
        <w:rPr>
          <w:u w:val="single"/>
        </w:rPr>
        <w:tab/>
      </w:r>
    </w:p>
    <w:p>
      <w:pPr>
        <w:pStyle w:val="BodyText"/>
        <w:tabs>
          <w:tab w:val="clear" w:pos="720"/>
          <w:tab w:val="left" w:pos="9923" w:leader="none"/>
        </w:tabs>
        <w:spacing w:lineRule="auto" w:line="408"/>
        <w:ind w:left="67" w:right="119"/>
        <w:jc w:val="both"/>
        <w:rPr>
          <w:u w:val="single"/>
        </w:rPr>
      </w:pPr>
      <w:r>
        <w:rPr>
          <w:u w:val="single"/>
        </w:rPr>
      </w:r>
    </w:p>
    <w:p>
      <w:pPr>
        <w:pStyle w:val="Normal"/>
        <w:jc w:val="both"/>
        <w:rPr>
          <w:i/>
          <w:sz w:val="28"/>
          <w:szCs w:val="28"/>
        </w:rPr>
      </w:pPr>
      <w:r>
        <w:rPr>
          <w:i/>
          <w:sz w:val="28"/>
          <w:szCs w:val="28"/>
        </w:rPr>
        <w:t>Consapevole delle sanzioni penali previste dalla legge per le false dichiarazioni e attestazioni (art. 76 del D.P.R. 445/2000 e Codice Penale), sotto la propria responsabilità</w:t>
      </w:r>
    </w:p>
    <w:p>
      <w:pPr>
        <w:pStyle w:val="BodyText"/>
        <w:rPr>
          <w:i/>
        </w:rPr>
      </w:pPr>
      <w:r>
        <w:rPr>
          <w:i/>
        </w:rPr>
      </w:r>
    </w:p>
    <w:p>
      <w:pPr>
        <w:pStyle w:val="Heading1"/>
        <w:spacing w:before="1" w:after="0"/>
        <w:ind w:left="40" w:right="54"/>
        <w:rPr/>
      </w:pPr>
      <w:r>
        <w:rPr>
          <w:spacing w:val="-2"/>
        </w:rPr>
        <w:t>DICHIARA</w:t>
      </w:r>
    </w:p>
    <w:p>
      <w:pPr>
        <w:pStyle w:val="BodyText"/>
        <w:rPr>
          <w:b/>
        </w:rPr>
      </w:pPr>
      <w:r>
        <w:rPr>
          <w:b/>
        </w:rPr>
      </w:r>
    </w:p>
    <w:p>
      <w:pPr>
        <w:pStyle w:val="ListParagraph"/>
        <w:numPr>
          <w:ilvl w:val="0"/>
          <w:numId w:val="1"/>
        </w:numPr>
        <w:tabs>
          <w:tab w:val="clear" w:pos="720"/>
          <w:tab w:val="left" w:pos="426" w:leader="none"/>
        </w:tabs>
        <w:ind w:hanging="284" w:left="426" w:right="96"/>
        <w:jc w:val="both"/>
        <w:rPr>
          <w:sz w:val="28"/>
          <w:szCs w:val="28"/>
        </w:rPr>
      </w:pPr>
      <w:r>
        <w:rPr>
          <w:sz w:val="28"/>
          <w:szCs w:val="28"/>
        </w:rPr>
        <w:t>Di aver preso visione di quanto previsto all’interno dell’avviso pubblico per la partecipazione alla presente selezione e di accettarne integralmente le condizioni.</w:t>
      </w:r>
    </w:p>
    <w:p>
      <w:pPr>
        <w:pStyle w:val="ListParagraph"/>
        <w:tabs>
          <w:tab w:val="clear" w:pos="720"/>
          <w:tab w:val="left" w:pos="426" w:leader="none"/>
        </w:tabs>
        <w:ind w:hanging="284" w:left="426" w:right="96"/>
        <w:jc w:val="left"/>
        <w:rPr>
          <w:sz w:val="28"/>
          <w:szCs w:val="28"/>
        </w:rPr>
      </w:pPr>
      <w:r>
        <w:rPr>
          <w:sz w:val="28"/>
          <w:szCs w:val="28"/>
        </w:rPr>
      </w:r>
    </w:p>
    <w:p>
      <w:pPr>
        <w:pStyle w:val="ListParagraph"/>
        <w:numPr>
          <w:ilvl w:val="0"/>
          <w:numId w:val="1"/>
        </w:numPr>
        <w:tabs>
          <w:tab w:val="clear" w:pos="720"/>
          <w:tab w:val="left" w:pos="426" w:leader="none"/>
        </w:tabs>
        <w:ind w:hanging="284" w:left="426" w:right="96"/>
        <w:jc w:val="both"/>
        <w:rPr>
          <w:sz w:val="28"/>
          <w:szCs w:val="28"/>
        </w:rPr>
      </w:pPr>
      <w:r>
        <w:rPr>
          <w:sz w:val="28"/>
          <w:szCs w:val="28"/>
        </w:rPr>
        <w:t>Che le attività di organizzazione e gestione dei mercatini dei non professionisti ed eventuali attività collaterali di animazione socio-culturale verranno svolte nel rispetto delle normative vigenti sul territorio comunale e delle disposizioni previste all'art. 6 "Oneri e responsabilità del soggetto organizzatore gestore".</w:t>
      </w:r>
    </w:p>
    <w:p>
      <w:pPr>
        <w:pStyle w:val="ListParagraph"/>
        <w:numPr>
          <w:ilvl w:val="0"/>
          <w:numId w:val="1"/>
        </w:numPr>
        <w:tabs>
          <w:tab w:val="clear" w:pos="720"/>
          <w:tab w:val="left" w:pos="426" w:leader="none"/>
        </w:tabs>
        <w:spacing w:before="199" w:after="0"/>
        <w:ind w:hanging="284" w:left="426" w:right="83"/>
        <w:jc w:val="both"/>
        <w:rPr>
          <w:sz w:val="28"/>
          <w:szCs w:val="28"/>
        </w:rPr>
      </w:pPr>
      <w:r>
        <w:rPr>
          <w:sz w:val="28"/>
          <w:szCs w:val="28"/>
        </w:rPr>
        <w:t>Di avere consapevolezza che il soggetto interessato all'organizzazione e gestione di mercatini dei non professionisti è responsabile dell'organizzazione e gestione dell’evento nel suo complesso a titolo gratuito, salvo richiedere ai singoli operatori le somme per il canone di occupazione maggiorate dall’eventuale rimborso delle spese sostenute per servizi inerenti l'organizzazione dell'evento.</w:t>
      </w:r>
    </w:p>
    <w:p>
      <w:pPr>
        <w:pStyle w:val="ListParagraph"/>
        <w:numPr>
          <w:ilvl w:val="0"/>
          <w:numId w:val="1"/>
        </w:numPr>
        <w:tabs>
          <w:tab w:val="clear" w:pos="720"/>
          <w:tab w:val="left" w:pos="426" w:leader="none"/>
        </w:tabs>
        <w:spacing w:before="77" w:after="0"/>
        <w:ind w:hanging="284" w:left="426" w:right="43"/>
        <w:jc w:val="both"/>
        <w:rPr/>
      </w:pPr>
      <w:r>
        <w:rPr>
          <w:sz w:val="28"/>
          <w:szCs w:val="28"/>
        </w:rPr>
        <w:t>Di impegnarsi a rispettare in caso di utilizzo di sorgenti di rumorosità le disposizioni in materia di inquinamento acustico di cui alla vigente normativa (Legge n. 447/95 e ss.mm.ii., DPCM 14/11/97, L.R n.89/98 e ss.mm.ii., DPGRT 2R/2014ess.mm.ii., Regolamento di Igiene quest’ultimo per quanto non in contrasto con le suddette norme-Piano di Classificazione Acustica Il rispetto dei limiti e delle condizioni previste dall’enorme vigenti richiamate deve essere attestato dal soggetto organizzatore/gestore della manifestazione.</w:t>
      </w:r>
    </w:p>
    <w:p>
      <w:pPr>
        <w:pStyle w:val="ListParagraph"/>
        <w:numPr>
          <w:ilvl w:val="0"/>
          <w:numId w:val="1"/>
        </w:numPr>
        <w:tabs>
          <w:tab w:val="clear" w:pos="720"/>
          <w:tab w:val="left" w:pos="426" w:leader="none"/>
        </w:tabs>
        <w:spacing w:before="77" w:after="0"/>
        <w:ind w:hanging="284" w:left="426" w:right="43"/>
        <w:jc w:val="both"/>
        <w:rPr>
          <w:sz w:val="28"/>
          <w:szCs w:val="28"/>
        </w:rPr>
      </w:pPr>
      <w:r>
        <w:rPr>
          <w:sz w:val="28"/>
          <w:szCs w:val="28"/>
        </w:rPr>
        <w:t>Di essere consapevole che l'Amministrazione valuterà le domande pervenute sulla base dei criteri indicati nell’avviso all’art. 7 e che, all'esito della valutazione, sarà predisposta una graduatoria utile alla calendarizzazione delle manifestazioni.</w:t>
      </w:r>
    </w:p>
    <w:p>
      <w:pPr>
        <w:pStyle w:val="ListParagraph"/>
        <w:numPr>
          <w:ilvl w:val="0"/>
          <w:numId w:val="1"/>
        </w:numPr>
        <w:tabs>
          <w:tab w:val="clear" w:pos="720"/>
          <w:tab w:val="left" w:pos="426" w:leader="none"/>
        </w:tabs>
        <w:spacing w:before="77" w:after="0"/>
        <w:ind w:hanging="284" w:left="426" w:right="43"/>
        <w:jc w:val="both"/>
        <w:rPr/>
      </w:pPr>
      <w:r>
        <w:rPr>
          <w:sz w:val="28"/>
          <w:szCs w:val="28"/>
        </w:rPr>
        <w:t>Di essere consapevole che l’istanza finalizzata al rilascio del titolo autorizzatorio e relativa concessione temporanea di suolo pubblico dovrà essere presentata, all’ufficio competente almeno 30 giorni prima dell’inizio della manifestazione. Il ritardo nella tempistica di presentazione non garantisce il rilascio dell’autorizzazione all’esercizio né di concessione del suolo pubblico necessari allo svolgimento della manifestazione.</w:t>
      </w:r>
    </w:p>
    <w:p>
      <w:pPr>
        <w:pStyle w:val="ListParagraph"/>
        <w:numPr>
          <w:ilvl w:val="0"/>
          <w:numId w:val="1"/>
        </w:numPr>
        <w:tabs>
          <w:tab w:val="clear" w:pos="720"/>
          <w:tab w:val="left" w:pos="426" w:leader="none"/>
        </w:tabs>
        <w:spacing w:before="77" w:after="0"/>
        <w:ind w:hanging="284" w:left="426" w:right="43"/>
        <w:jc w:val="both"/>
        <w:rPr/>
      </w:pPr>
      <w:r>
        <w:rPr>
          <w:sz w:val="28"/>
          <w:szCs w:val="28"/>
        </w:rPr>
        <w:t>Di essere consapevole che, a norma dell’art. 39 della L.R. Toscana 23 novembre 2018, n. 62 “Codice del Commercio” possono partecipare persone fisiche diverse da commercianti o artigiani, ovvero solamente coloro che per puro hobby, realizzano direttamente e per l’intero ciclo produttivo oggettistica realizzata con qualsiasi materiale purché non in metallo prezioso</w:t>
      </w:r>
    </w:p>
    <w:p>
      <w:pPr>
        <w:pStyle w:val="ListParagraph"/>
        <w:numPr>
          <w:ilvl w:val="0"/>
          <w:numId w:val="1"/>
        </w:numPr>
        <w:tabs>
          <w:tab w:val="clear" w:pos="720"/>
          <w:tab w:val="left" w:pos="426" w:leader="none"/>
        </w:tabs>
        <w:spacing w:before="200" w:after="0"/>
        <w:ind w:hanging="426" w:left="426" w:right="103"/>
        <w:jc w:val="both"/>
        <w:rPr>
          <w:sz w:val="28"/>
          <w:szCs w:val="28"/>
        </w:rPr>
      </w:pPr>
      <w:r>
        <w:rPr>
          <w:sz w:val="28"/>
          <w:szCs w:val="28"/>
        </w:rPr>
        <w:t>Di essere consapevole che la partecipazione ai mercatini dei non professionisti è subordinata al possesso di apposito tesserini</w:t>
      </w:r>
    </w:p>
    <w:p>
      <w:pPr>
        <w:pStyle w:val="ListParagraph"/>
        <w:tabs>
          <w:tab w:val="clear" w:pos="720"/>
          <w:tab w:val="left" w:pos="426" w:leader="none"/>
        </w:tabs>
        <w:spacing w:before="200" w:after="0"/>
        <w:ind w:hanging="0" w:left="788" w:right="103"/>
        <w:rPr/>
      </w:pPr>
      <w:r>
        <w:rPr/>
      </w:r>
    </w:p>
    <w:p>
      <w:pPr>
        <w:pStyle w:val="Heading1"/>
        <w:ind w:left="704" w:right="720"/>
        <w:rPr/>
      </w:pPr>
      <w:r>
        <w:rPr/>
        <w:t xml:space="preserve">DICHIARA </w:t>
      </w:r>
      <w:r>
        <w:rPr>
          <w:spacing w:val="-2"/>
        </w:rPr>
        <w:t>ALTRESI'</w:t>
      </w:r>
    </w:p>
    <w:p>
      <w:pPr>
        <w:pStyle w:val="BodyText"/>
        <w:rPr>
          <w:b/>
        </w:rPr>
      </w:pPr>
      <w:r>
        <w:rPr>
          <w:b/>
        </w:rPr>
      </w:r>
    </w:p>
    <w:p>
      <w:pPr>
        <w:pStyle w:val="ListParagraph"/>
        <w:numPr>
          <w:ilvl w:val="1"/>
          <w:numId w:val="1"/>
        </w:numPr>
        <w:tabs>
          <w:tab w:val="clear" w:pos="720"/>
          <w:tab w:val="left" w:pos="788" w:leader="none"/>
        </w:tabs>
        <w:ind w:hanging="360" w:left="788" w:right="97"/>
        <w:rPr>
          <w:sz w:val="28"/>
          <w:szCs w:val="28"/>
        </w:rPr>
      </w:pPr>
      <w:r>
        <w:rPr>
          <w:sz w:val="28"/>
          <w:szCs w:val="28"/>
        </w:rPr>
        <w:t>che non sussistono nei propri confronti “cause di divieto, di decadenza o di sospensione” di cui agli artt. 67 (commi 1, lett. da a) a g), da 2 a 7 e 8, e 76, comma 8 del D.Lgs. 06/09/2011, n. 159 (Codice delle Leggi antimafia e delle misure di prevenzione, nonché nuove disposizioni in materia di documentazione antimafia, a norma degli artt. 1 e 2 della L. 13/08/2010, n. 136);</w:t>
      </w:r>
    </w:p>
    <w:p>
      <w:pPr>
        <w:pStyle w:val="ListParagraph"/>
        <w:numPr>
          <w:ilvl w:val="1"/>
          <w:numId w:val="1"/>
        </w:numPr>
        <w:tabs>
          <w:tab w:val="clear" w:pos="720"/>
          <w:tab w:val="left" w:pos="788" w:leader="none"/>
        </w:tabs>
        <w:spacing w:before="200" w:after="0"/>
        <w:ind w:hanging="360" w:left="788" w:right="102"/>
        <w:rPr>
          <w:sz w:val="28"/>
          <w:szCs w:val="28"/>
        </w:rPr>
      </w:pPr>
      <w:r>
        <w:rPr>
          <w:sz w:val="28"/>
          <w:szCs w:val="28"/>
        </w:rPr>
        <w:t>che non siano in corso, a proprio carico, procedure concorsuali e/o fallimentari e che non siano stati dichiarati interdetti o inabilitati;</w:t>
      </w:r>
    </w:p>
    <w:p>
      <w:pPr>
        <w:pStyle w:val="ListParagraph"/>
        <w:numPr>
          <w:ilvl w:val="1"/>
          <w:numId w:val="1"/>
        </w:numPr>
        <w:tabs>
          <w:tab w:val="clear" w:pos="720"/>
          <w:tab w:val="left" w:pos="788" w:leader="none"/>
        </w:tabs>
        <w:spacing w:before="200" w:after="0"/>
        <w:ind w:hanging="360" w:left="788" w:right="105"/>
        <w:rPr>
          <w:sz w:val="28"/>
          <w:szCs w:val="28"/>
        </w:rPr>
      </w:pPr>
      <w:r>
        <w:rPr>
          <w:sz w:val="28"/>
          <w:szCs w:val="28"/>
        </w:rPr>
        <w:t>di impegnarsi ad osservare le norme vigenti in materia di copertura assicurativa, di sicurezza e di tutela e rispetto dei lavoratori;</w:t>
      </w:r>
    </w:p>
    <w:p>
      <w:pPr>
        <w:pStyle w:val="ListParagraph"/>
        <w:numPr>
          <w:ilvl w:val="1"/>
          <w:numId w:val="1"/>
        </w:numPr>
        <w:tabs>
          <w:tab w:val="clear" w:pos="720"/>
          <w:tab w:val="left" w:pos="788" w:leader="none"/>
        </w:tabs>
        <w:spacing w:before="200" w:after="0"/>
        <w:ind w:hanging="360" w:left="788" w:right="111"/>
        <w:rPr>
          <w:sz w:val="28"/>
          <w:szCs w:val="28"/>
        </w:rPr>
      </w:pPr>
      <w:r>
        <w:rPr>
          <w:sz w:val="28"/>
          <w:szCs w:val="28"/>
        </w:rPr>
        <w:t>che tutti gli oneri, i rischi di gestione e le responsabilità inerenti all’attività per la quale viene presentata la proposta sono a carico del richiedente;</w:t>
      </w:r>
    </w:p>
    <w:p>
      <w:pPr>
        <w:pStyle w:val="ListParagraph"/>
        <w:numPr>
          <w:ilvl w:val="1"/>
          <w:numId w:val="1"/>
        </w:numPr>
        <w:tabs>
          <w:tab w:val="clear" w:pos="720"/>
          <w:tab w:val="left" w:pos="788" w:leader="none"/>
        </w:tabs>
        <w:spacing w:before="200" w:after="0"/>
        <w:ind w:hanging="360" w:left="788" w:right="102"/>
        <w:rPr>
          <w:sz w:val="28"/>
          <w:szCs w:val="28"/>
        </w:rPr>
      </w:pPr>
      <w:r>
        <w:rPr>
          <w:sz w:val="28"/>
          <w:szCs w:val="28"/>
        </w:rPr>
        <w:t>di esonerare l’Amministrazione Comunale di Volterra da ogni responsabilità di natura giuridica, fiscale, amministrativa, civile e penale relativa ad eventuali comportamenti illeciti tenuti durante lo svolgimento della manifestazione;</w:t>
      </w:r>
    </w:p>
    <w:p>
      <w:pPr>
        <w:pStyle w:val="ListParagraph"/>
        <w:numPr>
          <w:ilvl w:val="1"/>
          <w:numId w:val="1"/>
        </w:numPr>
        <w:tabs>
          <w:tab w:val="clear" w:pos="720"/>
          <w:tab w:val="left" w:pos="788" w:leader="none"/>
        </w:tabs>
        <w:spacing w:before="201" w:after="0"/>
        <w:ind w:hanging="360" w:left="788" w:right="99"/>
        <w:rPr>
          <w:sz w:val="28"/>
          <w:szCs w:val="28"/>
        </w:rPr>
      </w:pPr>
      <w:r>
        <w:rPr>
          <w:sz w:val="28"/>
          <w:szCs w:val="28"/>
        </w:rPr>
        <w:t>di assumersi l’impegno a rendere compatibile la manifestazione con la funzione e la tutela territoriale e, pertanto, a rispettare le eventuali condizioni particolari, ivi comprese quelle correlate alla tipologia dei prodotti offerti in vendita e alle caratteristiche della struttura utilizzata, stabilite dall’autorità competente ai fini della salvaguardia delle aree dislocate nei centri storici o in aree aventi valore storico, archeologico, artistico e ambientale.</w:t>
      </w:r>
    </w:p>
    <w:p>
      <w:pPr>
        <w:pStyle w:val="ListParagraph"/>
        <w:jc w:val="left"/>
        <w:rPr/>
      </w:pPr>
      <w:r>
        <w:rPr/>
      </w:r>
    </w:p>
    <w:p>
      <w:pPr>
        <w:pStyle w:val="Normal"/>
        <w:rPr>
          <w:b/>
        </w:rPr>
      </w:pPr>
      <w:r>
        <w:rPr>
          <w:b/>
        </w:rPr>
      </w:r>
    </w:p>
    <w:p>
      <w:pPr>
        <w:pStyle w:val="Normal"/>
        <w:rPr>
          <w:b/>
        </w:rPr>
      </w:pPr>
      <w:r>
        <w:rPr>
          <w:b/>
        </w:rPr>
      </w:r>
    </w:p>
    <w:p>
      <w:pPr>
        <w:pStyle w:val="Normal"/>
        <w:rPr>
          <w:b/>
          <w:sz w:val="28"/>
          <w:szCs w:val="28"/>
        </w:rPr>
      </w:pPr>
      <w:r>
        <w:rPr>
          <w:b/>
          <w:sz w:val="28"/>
          <w:szCs w:val="28"/>
        </w:rPr>
        <w:t>SI ALLEGANO AI FINI DELLA VALUTAZIONE:</w:t>
      </w:r>
    </w:p>
    <w:p>
      <w:pPr>
        <w:pStyle w:val="Normal"/>
        <w:jc w:val="both"/>
        <w:rPr/>
      </w:pPr>
      <w:r>
        <w:rPr/>
      </w:r>
    </w:p>
    <w:p>
      <w:pPr>
        <w:pStyle w:val="ListParagraph"/>
        <w:widowControl/>
        <w:numPr>
          <w:ilvl w:val="0"/>
          <w:numId w:val="2"/>
        </w:numPr>
        <w:spacing w:lineRule="auto" w:line="276" w:before="0" w:after="200"/>
        <w:contextualSpacing/>
        <w:rPr>
          <w:sz w:val="28"/>
          <w:szCs w:val="28"/>
        </w:rPr>
      </w:pPr>
      <w:r>
        <w:rPr>
          <w:sz w:val="28"/>
          <w:szCs w:val="28"/>
        </w:rPr>
        <w:t xml:space="preserve">relazione illustrativa dettagliata della manifestazione (max 3 pagine). La relazione dovrà contenere gli elementi necessari di cui all’art.7 dell’avviso per la valutazione </w:t>
      </w:r>
      <w:r>
        <w:rPr>
          <w:sz w:val="28"/>
          <w:szCs w:val="28"/>
        </w:rPr>
        <w:t>del mercatino degli hobbisti</w:t>
      </w:r>
      <w:r>
        <w:rPr>
          <w:sz w:val="28"/>
          <w:szCs w:val="28"/>
        </w:rPr>
        <w:t xml:space="preserve"> propost</w:t>
      </w:r>
      <w:r>
        <w:rPr>
          <w:sz w:val="28"/>
          <w:szCs w:val="28"/>
        </w:rPr>
        <w:t>o</w:t>
      </w:r>
      <w:r>
        <w:rPr>
          <w:sz w:val="28"/>
          <w:szCs w:val="28"/>
        </w:rPr>
        <w:t xml:space="preserve">, nonché la descrizione delle </w:t>
      </w:r>
      <w:r>
        <w:rPr>
          <w:rFonts w:eastAsia="Times New Roman" w:cs="Times New Roman"/>
          <w:sz w:val="28"/>
          <w:szCs w:val="28"/>
          <w:lang w:val="it-IT"/>
        </w:rPr>
        <w:t xml:space="preserve">modalità operative di svolgimento della manifestazione, comprensiva di date, orari e luogo richiesto, caratteristiche delle tipologie di </w:t>
      </w:r>
      <w:r>
        <w:rPr>
          <w:rFonts w:eastAsia="Times New Roman" w:cs="Times New Roman"/>
          <w:sz w:val="28"/>
          <w:szCs w:val="28"/>
          <w:lang w:val="it-IT"/>
        </w:rPr>
        <w:t>prodotti</w:t>
      </w:r>
      <w:r>
        <w:rPr>
          <w:rFonts w:eastAsia="Times New Roman" w:cs="Times New Roman"/>
          <w:sz w:val="28"/>
          <w:szCs w:val="28"/>
          <w:lang w:val="it-IT"/>
        </w:rPr>
        <w:t xml:space="preserve"> post</w:t>
      </w:r>
      <w:r>
        <w:rPr>
          <w:rFonts w:eastAsia="Times New Roman" w:cs="Times New Roman"/>
          <w:sz w:val="28"/>
          <w:szCs w:val="28"/>
          <w:lang w:val="it-IT"/>
        </w:rPr>
        <w:t>i</w:t>
      </w:r>
      <w:r>
        <w:rPr>
          <w:rFonts w:eastAsia="Times New Roman" w:cs="Times New Roman"/>
          <w:sz w:val="28"/>
          <w:szCs w:val="28"/>
          <w:lang w:val="it-IT"/>
        </w:rPr>
        <w:t xml:space="preserve"> in vendita, consistenza dell’organico di banchi; </w:t>
      </w:r>
    </w:p>
    <w:p>
      <w:pPr>
        <w:pStyle w:val="ListParagraph"/>
        <w:widowControl/>
        <w:numPr>
          <w:ilvl w:val="0"/>
          <w:numId w:val="2"/>
        </w:numPr>
        <w:spacing w:lineRule="auto" w:line="276" w:before="0" w:after="200"/>
        <w:contextualSpacing/>
        <w:rPr>
          <w:sz w:val="28"/>
          <w:szCs w:val="28"/>
        </w:rPr>
      </w:pPr>
      <w:r>
        <w:rPr>
          <w:sz w:val="28"/>
          <w:szCs w:val="28"/>
        </w:rPr>
        <w:t xml:space="preserve"> </w:t>
      </w:r>
      <w:r>
        <w:rPr>
          <w:sz w:val="28"/>
          <w:szCs w:val="28"/>
        </w:rPr>
        <w:t>curriculum del soggetto proponente che deve riportare la specifica esperienza nell’organizzazione e gestione di eventi simili a quello proposto;</w:t>
      </w:r>
    </w:p>
    <w:p>
      <w:pPr>
        <w:pStyle w:val="ListParagraph"/>
        <w:widowControl/>
        <w:numPr>
          <w:ilvl w:val="0"/>
          <w:numId w:val="2"/>
        </w:numPr>
        <w:spacing w:lineRule="auto" w:line="276" w:before="0" w:after="200"/>
        <w:contextualSpacing/>
        <w:rPr>
          <w:sz w:val="28"/>
          <w:szCs w:val="28"/>
        </w:rPr>
      </w:pPr>
      <w:r>
        <w:rPr>
          <w:sz w:val="28"/>
          <w:szCs w:val="28"/>
        </w:rPr>
        <w:t>statuto e atto costitutivo (se Associazione);</w:t>
      </w:r>
    </w:p>
    <w:p>
      <w:pPr>
        <w:pStyle w:val="ListParagraph"/>
        <w:widowControl/>
        <w:numPr>
          <w:ilvl w:val="0"/>
          <w:numId w:val="2"/>
        </w:numPr>
        <w:spacing w:lineRule="auto" w:line="276" w:before="0" w:after="200"/>
        <w:contextualSpacing/>
        <w:rPr>
          <w:sz w:val="28"/>
          <w:szCs w:val="28"/>
        </w:rPr>
      </w:pPr>
      <w:r>
        <w:rPr>
          <w:sz w:val="28"/>
          <w:szCs w:val="28"/>
        </w:rPr>
        <w:t xml:space="preserve">piano di promozione e pubblicizzazione dell’evento; </w:t>
      </w:r>
    </w:p>
    <w:p>
      <w:pPr>
        <w:pStyle w:val="ListParagraph"/>
        <w:widowControl/>
        <w:numPr>
          <w:ilvl w:val="0"/>
          <w:numId w:val="2"/>
        </w:numPr>
        <w:spacing w:lineRule="auto" w:line="276" w:before="0" w:after="200"/>
        <w:contextualSpacing/>
        <w:rPr>
          <w:sz w:val="28"/>
          <w:szCs w:val="28"/>
        </w:rPr>
      </w:pPr>
      <w:r>
        <w:rPr>
          <w:sz w:val="28"/>
          <w:szCs w:val="28"/>
        </w:rPr>
        <w:t>elenco degli operatori se già disponibile</w:t>
      </w:r>
    </w:p>
    <w:p>
      <w:pPr>
        <w:pStyle w:val="ListParagraph"/>
        <w:widowControl/>
        <w:numPr>
          <w:ilvl w:val="0"/>
          <w:numId w:val="2"/>
        </w:numPr>
        <w:spacing w:lineRule="auto" w:line="276" w:before="0" w:after="200"/>
        <w:contextualSpacing/>
        <w:rPr>
          <w:sz w:val="28"/>
          <w:szCs w:val="28"/>
        </w:rPr>
      </w:pPr>
      <w:r>
        <w:rPr>
          <w:sz w:val="28"/>
          <w:szCs w:val="28"/>
        </w:rPr>
        <w:t>l’elaborato grafico o planimetria in scala adeguata indicante l’area complessiva con gli specifici posizionamenti, rendering o immagini rappresentative degli allestimenti con particolare riferimento alla coerenza delle strutture proposte con il contesto storico e architettonico delle aree della città;</w:t>
      </w:r>
    </w:p>
    <w:p>
      <w:pPr>
        <w:pStyle w:val="ListParagraph"/>
        <w:widowControl/>
        <w:numPr>
          <w:ilvl w:val="0"/>
          <w:numId w:val="2"/>
        </w:numPr>
        <w:spacing w:lineRule="auto" w:line="276" w:before="0" w:after="200"/>
        <w:contextualSpacing/>
        <w:rPr>
          <w:sz w:val="28"/>
          <w:szCs w:val="28"/>
        </w:rPr>
      </w:pPr>
      <w:r>
        <w:rPr>
          <w:sz w:val="28"/>
          <w:szCs w:val="28"/>
        </w:rPr>
        <w:t>in caso di utilizzo di sorgenti di rumorosità: attestazione del rispetto dei limiti acustici vigenti stabiliti dalla normativa e dal Piano Comunale di Classificazione acustica, sulla base di verifica effettuata da tecnico competente in acustica;</w:t>
      </w:r>
    </w:p>
    <w:p>
      <w:pPr>
        <w:pStyle w:val="ListParagraph"/>
        <w:widowControl/>
        <w:numPr>
          <w:ilvl w:val="0"/>
          <w:numId w:val="2"/>
        </w:numPr>
        <w:spacing w:lineRule="auto" w:line="276" w:before="0" w:after="200"/>
        <w:contextualSpacing/>
        <w:rPr>
          <w:sz w:val="28"/>
          <w:szCs w:val="28"/>
        </w:rPr>
      </w:pPr>
      <w:r>
        <w:rPr>
          <w:sz w:val="28"/>
          <w:szCs w:val="28"/>
        </w:rPr>
        <w:t>Altro _____________________________________________________________</w:t>
      </w:r>
    </w:p>
    <w:p>
      <w:pPr>
        <w:pStyle w:val="ListParagraph"/>
        <w:widowControl/>
        <w:numPr>
          <w:ilvl w:val="0"/>
          <w:numId w:val="2"/>
        </w:numPr>
        <w:spacing w:lineRule="auto" w:line="276" w:before="0" w:after="200"/>
        <w:contextualSpacing/>
        <w:rPr>
          <w:sz w:val="28"/>
          <w:szCs w:val="28"/>
        </w:rPr>
      </w:pPr>
      <w:r>
        <w:rPr>
          <w:sz w:val="28"/>
          <w:szCs w:val="28"/>
        </w:rPr>
        <w:t>Altro _____________________________________________________________</w:t>
      </w:r>
    </w:p>
    <w:p>
      <w:pPr>
        <w:pStyle w:val="ListParagraph"/>
        <w:jc w:val="left"/>
        <w:rPr/>
      </w:pPr>
      <w:r>
        <w:rPr/>
      </w:r>
    </w:p>
    <w:p>
      <w:pPr>
        <w:pStyle w:val="ListParagraph"/>
        <w:jc w:val="left"/>
        <w:rPr/>
      </w:pPr>
      <w:r>
        <w:rPr/>
      </w:r>
    </w:p>
    <w:p>
      <w:pPr>
        <w:pStyle w:val="BodyText"/>
        <w:spacing w:before="22" w:after="0"/>
        <w:rPr/>
      </w:pPr>
      <w:r>
        <w:rPr/>
      </w:r>
    </w:p>
    <w:p>
      <w:pPr>
        <w:pStyle w:val="BodyText"/>
        <w:tabs>
          <w:tab w:val="clear" w:pos="720"/>
          <w:tab w:val="left" w:pos="3117" w:leader="none"/>
        </w:tabs>
        <w:spacing w:lineRule="exact" w:line="252"/>
        <w:ind w:left="67"/>
        <w:rPr/>
      </w:pPr>
      <w:r>
        <w:rPr/>
        <w:t xml:space="preserve">Data </w:t>
      </w:r>
      <w:r>
        <w:rPr>
          <w:u w:val="single"/>
        </w:rPr>
        <w:tab/>
      </w:r>
    </w:p>
    <w:p>
      <w:pPr>
        <w:pStyle w:val="BodyText"/>
        <w:spacing w:lineRule="exact" w:line="252"/>
        <w:ind w:left="7598"/>
        <w:rPr/>
      </w:pPr>
      <w:r>
        <w:rPr>
          <w:spacing w:val="-4"/>
        </w:rPr>
        <w:t>Firma</w:t>
      </w:r>
    </w:p>
    <w:p>
      <w:pPr>
        <w:pStyle w:val="BodyText"/>
        <w:rPr>
          <w:sz w:val="20"/>
        </w:rPr>
      </w:pPr>
      <w:r>
        <w:rPr>
          <w:sz w:val="20"/>
        </w:rPr>
      </w:r>
    </w:p>
    <w:p>
      <w:pPr>
        <w:pStyle w:val="BodyText"/>
        <w:spacing w:before="18" w:after="0"/>
        <w:rPr>
          <w:sz w:val="20"/>
        </w:rPr>
      </w:pPr>
      <w:r>
        <w:rPr>
          <w:sz w:val="20"/>
        </w:rPr>
        <mc:AlternateContent>
          <mc:Choice Requires="wps">
            <w:drawing>
              <wp:anchor distT="0" distB="0" distL="0" distR="0" simplePos="0" relativeHeight="19" behindDoc="1" locked="0" layoutInCell="0" allowOverlap="1">
                <wp:simplePos x="0" y="0"/>
                <wp:positionH relativeFrom="page">
                  <wp:posOffset>3806190</wp:posOffset>
                </wp:positionH>
                <wp:positionV relativeFrom="paragraph">
                  <wp:posOffset>172720</wp:posOffset>
                </wp:positionV>
                <wp:extent cx="3073400" cy="635"/>
                <wp:effectExtent l="3175" t="3175" r="3175" b="3175"/>
                <wp:wrapTopAndBottom/>
                <wp:docPr id="2" name="docshape3"/>
                <a:graphic xmlns:a="http://schemas.openxmlformats.org/drawingml/2006/main">
                  <a:graphicData uri="http://schemas.microsoft.com/office/word/2010/wordprocessingShape">
                    <wps:wsp>
                      <wps:cNvSpPr/>
                      <wps:spPr>
                        <a:xfrm>
                          <a:off x="0" y="0"/>
                          <a:ext cx="3073320" cy="720"/>
                        </a:xfrm>
                        <a:prstGeom prst="line">
                          <a:avLst/>
                        </a:prstGeom>
                        <a:ln w="5760">
                          <a:solidFill>
                            <a:srgbClr val="000000"/>
                          </a:solidFill>
                          <a:round/>
                        </a:ln>
                      </wps:spPr>
                      <wps:style>
                        <a:lnRef idx="0"/>
                        <a:fillRef idx="0"/>
                        <a:effectRef idx="0"/>
                        <a:fontRef idx="minor"/>
                      </wps:style>
                      <wps:bodyPr/>
                    </wps:wsp>
                  </a:graphicData>
                </a:graphic>
              </wp:anchor>
            </w:drawing>
          </mc:Choice>
          <mc:Fallback>
            <w:pict>
              <v:line id="shape_0" from="299.7pt,13.6pt" to="541.65pt,13.6pt" stroked="t" o:allowincell="f" style="position:absolute;mso-position-horizontal-relative:page">
                <v:stroke color="black" weight="5760" joinstyle="round" endcap="flat"/>
                <v:fill o:detectmouseclick="t" on="false"/>
                <w10:wrap type="topAndBottom"/>
              </v:line>
            </w:pict>
          </mc:Fallback>
        </mc:AlternateContent>
      </w:r>
    </w:p>
    <w:p>
      <w:pPr>
        <w:pStyle w:val="Normal"/>
        <w:spacing w:before="63" w:after="0"/>
        <w:ind w:hanging="12" w:left="284" w:right="318"/>
        <w:jc w:val="center"/>
        <w:rPr>
          <w:i/>
        </w:rPr>
      </w:pPr>
      <w:r>
        <w:rPr>
          <w:i/>
        </w:rPr>
      </w:r>
    </w:p>
    <w:p>
      <w:pPr>
        <w:pStyle w:val="Normal"/>
        <w:spacing w:before="63" w:after="0"/>
        <w:ind w:hanging="12" w:left="284" w:right="318"/>
        <w:jc w:val="center"/>
        <w:rPr>
          <w:i/>
        </w:rPr>
      </w:pPr>
      <w:r>
        <w:rPr>
          <w:i/>
        </w:rPr>
        <w:t>La domanda qualora non sia firmata digitalmente dal dichiarante o dal delegato cui lo stesso ha conferito apposita procura alla sottoscrizione digitale, e quindi in caso di firma autografa dovrà essere corredata da copia di documento di identità in corso di validità del titolare.</w:t>
      </w:r>
    </w:p>
    <w:p>
      <w:pPr>
        <w:pStyle w:val="BodyText"/>
        <w:rPr>
          <w:i/>
        </w:rPr>
      </w:pPr>
      <w:r>
        <w:rPr>
          <w:i/>
        </w:rPr>
      </w:r>
    </w:p>
    <w:p>
      <w:pPr>
        <w:pStyle w:val="BodyText"/>
        <w:spacing w:before="180" w:after="0"/>
        <w:rPr>
          <w:i/>
        </w:rPr>
      </w:pPr>
      <w:r>
        <w:rPr>
          <w:i/>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BodyText"/>
        <w:jc w:val="both"/>
        <w:rPr>
          <w:b/>
          <w:sz w:val="24"/>
          <w:szCs w:val="24"/>
        </w:rPr>
      </w:pPr>
      <w:r>
        <w:rPr>
          <w:b/>
          <w:sz w:val="24"/>
          <w:szCs w:val="24"/>
        </w:rPr>
        <w:t>INFORMATIVA AI SENSI DELL’ART. 13 DEL REGOLAMENTO UE 2016/679 (GDPR)</w:t>
      </w:r>
    </w:p>
    <w:p>
      <w:pPr>
        <w:pStyle w:val="BodyText"/>
        <w:jc w:val="both"/>
        <w:rPr>
          <w:b/>
          <w:sz w:val="24"/>
          <w:szCs w:val="24"/>
        </w:rPr>
      </w:pPr>
      <w:bookmarkStart w:id="0" w:name="_gjdgxs"/>
      <w:bookmarkEnd w:id="0"/>
      <w:r>
        <w:rPr>
          <w:b/>
          <w:sz w:val="24"/>
          <w:szCs w:val="24"/>
        </w:rPr>
        <w:t>INFORMATIVA SUL TRATTAMENTO DEI DATI PERSONALI</w:t>
      </w:r>
    </w:p>
    <w:p>
      <w:pPr>
        <w:pStyle w:val="BodyText"/>
        <w:jc w:val="both"/>
        <w:rPr>
          <w:sz w:val="24"/>
          <w:szCs w:val="24"/>
        </w:rPr>
      </w:pPr>
      <w:r>
        <w:rPr>
          <w:b/>
          <w:sz w:val="24"/>
          <w:szCs w:val="24"/>
        </w:rPr>
        <w:t>(fornita quando i dati personali sono raccolti presso l'interessato, ai sensi dell'art. 13 del Reg. (UE) 2016/ 679)</w:t>
      </w:r>
    </w:p>
    <w:p>
      <w:pPr>
        <w:pStyle w:val="BodyText"/>
        <w:jc w:val="both"/>
        <w:rPr>
          <w:sz w:val="24"/>
          <w:szCs w:val="24"/>
        </w:rPr>
      </w:pPr>
      <w:r>
        <w:rPr>
          <w:sz w:val="24"/>
          <w:szCs w:val="24"/>
        </w:rPr>
      </w:r>
    </w:p>
    <w:p>
      <w:pPr>
        <w:pStyle w:val="BodyText"/>
        <w:jc w:val="both"/>
        <w:rPr>
          <w:sz w:val="24"/>
          <w:szCs w:val="24"/>
        </w:rPr>
      </w:pPr>
      <w:r>
        <w:rPr>
          <w:b/>
          <w:sz w:val="24"/>
          <w:szCs w:val="24"/>
        </w:rPr>
        <w:t>Ai sensi del Regolamento (UE) 2016/679 (di seguito "GDPR"), queste informazioni descrivono le modalità di trattamento dei dati personali che gli interessati conferiscono al Titolare.</w:t>
      </w:r>
    </w:p>
    <w:p>
      <w:pPr>
        <w:pStyle w:val="BodyText"/>
        <w:jc w:val="both"/>
        <w:rPr>
          <w:sz w:val="24"/>
          <w:szCs w:val="24"/>
        </w:rPr>
      </w:pPr>
      <w:r>
        <w:rPr>
          <w:sz w:val="24"/>
          <w:szCs w:val="24"/>
        </w:rPr>
      </w:r>
      <w:bookmarkStart w:id="1" w:name="_30j0zll"/>
      <w:bookmarkStart w:id="2" w:name="_30j0zll"/>
      <w:bookmarkEnd w:id="2"/>
    </w:p>
    <w:p>
      <w:pPr>
        <w:pStyle w:val="BodyText"/>
        <w:jc w:val="both"/>
        <w:rPr>
          <w:b/>
          <w:sz w:val="24"/>
          <w:szCs w:val="24"/>
        </w:rPr>
      </w:pPr>
      <w:r>
        <w:rPr>
          <w:b/>
          <w:sz w:val="24"/>
          <w:szCs w:val="24"/>
        </w:rPr>
        <w:t>Titolare del Trattamento</w:t>
      </w:r>
      <w:r>
        <w:rPr>
          <w:sz w:val="24"/>
          <w:szCs w:val="24"/>
        </w:rPr>
        <w:t>: Comune di Volterra con sede in Piazza dei Priori n. 1;</w:t>
      </w:r>
    </w:p>
    <w:p>
      <w:pPr>
        <w:pStyle w:val="BodyText"/>
        <w:jc w:val="both"/>
        <w:rPr>
          <w:b/>
          <w:sz w:val="24"/>
          <w:szCs w:val="24"/>
        </w:rPr>
      </w:pPr>
      <w:r>
        <w:rPr>
          <w:b/>
          <w:sz w:val="24"/>
          <w:szCs w:val="24"/>
        </w:rPr>
        <w:t xml:space="preserve">Centralino: +39 058886050, </w:t>
      </w:r>
    </w:p>
    <w:p>
      <w:pPr>
        <w:pStyle w:val="BodyText"/>
        <w:jc w:val="both"/>
        <w:rPr>
          <w:b/>
          <w:sz w:val="24"/>
          <w:szCs w:val="24"/>
        </w:rPr>
      </w:pPr>
      <w:r>
        <w:rPr>
          <w:b/>
          <w:sz w:val="24"/>
          <w:szCs w:val="24"/>
        </w:rPr>
        <w:t xml:space="preserve">Email: </w:t>
      </w:r>
      <w:r>
        <w:rPr>
          <w:sz w:val="24"/>
          <w:szCs w:val="24"/>
        </w:rPr>
        <w:t>protocollo@comune.volterra.pi.it</w:t>
      </w:r>
    </w:p>
    <w:p>
      <w:pPr>
        <w:pStyle w:val="BodyText"/>
        <w:jc w:val="both"/>
        <w:rPr>
          <w:b/>
          <w:sz w:val="24"/>
          <w:szCs w:val="24"/>
        </w:rPr>
      </w:pPr>
      <w:r>
        <w:rPr>
          <w:b/>
          <w:sz w:val="24"/>
          <w:szCs w:val="24"/>
        </w:rPr>
        <w:t xml:space="preserve">PEC: </w:t>
      </w:r>
      <w:r>
        <w:rPr>
          <w:sz w:val="24"/>
          <w:szCs w:val="24"/>
        </w:rPr>
        <w:t>comune.volterra@postacert.toscana.it</w:t>
      </w:r>
    </w:p>
    <w:p>
      <w:pPr>
        <w:pStyle w:val="BodyText"/>
        <w:jc w:val="both"/>
        <w:rPr>
          <w:b/>
          <w:sz w:val="24"/>
          <w:szCs w:val="24"/>
        </w:rPr>
      </w:pPr>
      <w:r>
        <w:rPr>
          <w:b/>
          <w:sz w:val="24"/>
          <w:szCs w:val="24"/>
        </w:rPr>
        <w:t>Sito web: www.comune.volterra.pi.it</w:t>
      </w:r>
    </w:p>
    <w:p>
      <w:pPr>
        <w:pStyle w:val="BodyText"/>
        <w:jc w:val="both"/>
        <w:rPr>
          <w:sz w:val="24"/>
          <w:szCs w:val="24"/>
        </w:rPr>
      </w:pPr>
      <w:r>
        <w:rPr>
          <w:b/>
          <w:sz w:val="24"/>
          <w:szCs w:val="24"/>
        </w:rPr>
        <w:t xml:space="preserve">Rappresentante: </w:t>
      </w:r>
      <w:r>
        <w:rPr>
          <w:sz w:val="24"/>
          <w:szCs w:val="24"/>
        </w:rPr>
        <w:t>Sindaco – Giacomo Santi</w:t>
      </w:r>
    </w:p>
    <w:p>
      <w:pPr>
        <w:pStyle w:val="BodyText"/>
        <w:jc w:val="both"/>
        <w:rPr>
          <w:sz w:val="24"/>
          <w:szCs w:val="24"/>
        </w:rPr>
      </w:pPr>
      <w:r>
        <w:rPr>
          <w:b/>
          <w:sz w:val="24"/>
          <w:szCs w:val="24"/>
        </w:rPr>
        <w:t>Dati di contatto del RPD Responsabile per la protezione dei dati</w:t>
      </w:r>
      <w:r>
        <w:rPr>
          <w:sz w:val="24"/>
          <w:szCs w:val="24"/>
        </w:rPr>
        <w:t>: Rete Supporto Specialistico - Consulenti Privacy Srl tel05411798723 e-mail consulenza@entionline.it pec</w:t>
      </w:r>
      <w:hyperlink r:id="rId2">
        <w:r>
          <w:rPr>
            <w:rStyle w:val="Style8"/>
          </w:rPr>
          <w:t>consulentiprivacy@postaleg.it</w:t>
        </w:r>
      </w:hyperlink>
      <w:r>
        <w:rPr>
          <w:sz w:val="24"/>
          <w:szCs w:val="24"/>
        </w:rPr>
        <w:t xml:space="preserve"> a cui il cittadino può rivolgersi per esercitare i suoi diritti in tema di trattamento dei dati.</w:t>
      </w:r>
    </w:p>
    <w:p>
      <w:pPr>
        <w:pStyle w:val="BodyText"/>
        <w:jc w:val="both"/>
        <w:rPr>
          <w:sz w:val="24"/>
          <w:szCs w:val="24"/>
        </w:rPr>
      </w:pPr>
      <w:r>
        <w:rPr>
          <w:sz w:val="24"/>
          <w:szCs w:val="24"/>
        </w:rPr>
      </w:r>
    </w:p>
    <w:p>
      <w:pPr>
        <w:pStyle w:val="BodyText"/>
        <w:jc w:val="both"/>
        <w:rPr>
          <w:sz w:val="24"/>
          <w:szCs w:val="24"/>
        </w:rPr>
      </w:pPr>
      <w:r>
        <w:rPr>
          <w:sz w:val="24"/>
          <w:szCs w:val="24"/>
        </w:rPr>
        <w:t>L’Ente in qualità di Titolare del trattamento, La informa che, i Suoi dati personali, saranno trattati nel rispetto delle normative di legge sulla protezione dei dati, del diritto dell’Unione Europea e dei regolamenti interni dell’ente.</w:t>
      </w:r>
    </w:p>
    <w:p>
      <w:pPr>
        <w:pStyle w:val="BodyText"/>
        <w:jc w:val="both"/>
        <w:rPr>
          <w:sz w:val="24"/>
          <w:szCs w:val="24"/>
        </w:rPr>
      </w:pPr>
      <w:r>
        <w:rPr>
          <w:sz w:val="24"/>
          <w:szCs w:val="24"/>
        </w:rPr>
        <w:t>Il Titolare assicura che il trattamento dei suoi dati si svolge nel rispetto dei diritti e delle libertà fondamentali dell’individuo, nonché della sua dignità, con particolare riferimento alla riservatezza, all'identità personale e al diritto alla protezione dei dati personali.</w:t>
      </w:r>
    </w:p>
    <w:p>
      <w:pPr>
        <w:pStyle w:val="BodyText"/>
        <w:jc w:val="both"/>
        <w:rPr>
          <w:sz w:val="24"/>
          <w:szCs w:val="24"/>
        </w:rPr>
      </w:pPr>
      <w:r>
        <w:rPr>
          <w:sz w:val="24"/>
          <w:szCs w:val="24"/>
        </w:rPr>
      </w:r>
    </w:p>
    <w:p>
      <w:pPr>
        <w:pStyle w:val="BodyText"/>
        <w:jc w:val="both"/>
        <w:rPr>
          <w:sz w:val="24"/>
          <w:szCs w:val="24"/>
        </w:rPr>
      </w:pPr>
      <w:r>
        <w:rPr>
          <w:sz w:val="24"/>
          <w:szCs w:val="24"/>
        </w:rPr>
        <w:t>L’Ente, in qualità di “Titolare” del trattamento, ai sensi dell'articolo 13-14 del GDPR, pertanto fornisce le seguenti informazioni:</w:t>
      </w:r>
    </w:p>
    <w:p>
      <w:pPr>
        <w:pStyle w:val="Normal"/>
        <w:jc w:val="both"/>
        <w:rPr>
          <w:i/>
          <w:strike/>
        </w:rPr>
      </w:pPr>
      <w:r>
        <w:rPr>
          <w:i/>
          <w:strike/>
        </w:rPr>
      </w:r>
    </w:p>
    <w:p>
      <w:pPr>
        <w:pStyle w:val="BodyText"/>
        <w:jc w:val="both"/>
        <w:rPr>
          <w:b/>
          <w:bCs/>
          <w:sz w:val="24"/>
          <w:szCs w:val="24"/>
        </w:rPr>
      </w:pPr>
      <w:r>
        <w:rPr>
          <w:b/>
          <w:bCs/>
          <w:i/>
          <w:sz w:val="24"/>
          <w:szCs w:val="24"/>
        </w:rPr>
        <w:t>Finalità e Base Giuridica del Trattamento</w:t>
      </w:r>
    </w:p>
    <w:p>
      <w:pPr>
        <w:pStyle w:val="BodyText"/>
        <w:jc w:val="both"/>
        <w:rPr>
          <w:sz w:val="24"/>
          <w:szCs w:val="24"/>
        </w:rPr>
      </w:pPr>
      <w:r>
        <w:rPr>
          <w:sz w:val="24"/>
          <w:szCs w:val="24"/>
        </w:rPr>
      </w:r>
    </w:p>
    <w:p>
      <w:pPr>
        <w:pStyle w:val="BodyText"/>
        <w:jc w:val="both"/>
        <w:rPr>
          <w:sz w:val="24"/>
          <w:szCs w:val="24"/>
        </w:rPr>
      </w:pPr>
      <w:r>
        <w:rPr>
          <w:sz w:val="24"/>
          <w:szCs w:val="24"/>
        </w:rPr>
        <w:t>Tutti i dati personali anche eventualmente particolari sono trattati dal Titolare per la finalità di svolgere una procedura ad evidenza pubblica per l’individuazione di soggetti organizzatori/gestori di mercatini degli hobbisti da svolgersi su suolo pubblico da inserire nel calendario eventi 202</w:t>
      </w:r>
      <w:r>
        <w:rPr>
          <w:sz w:val="24"/>
          <w:szCs w:val="24"/>
        </w:rPr>
        <w:t>7</w:t>
      </w:r>
      <w:r>
        <w:rPr>
          <w:sz w:val="24"/>
          <w:szCs w:val="24"/>
        </w:rPr>
        <w:t>.</w:t>
      </w:r>
    </w:p>
    <w:p>
      <w:pPr>
        <w:pStyle w:val="BodyText"/>
        <w:jc w:val="both"/>
        <w:rPr>
          <w:sz w:val="24"/>
          <w:szCs w:val="24"/>
        </w:rPr>
      </w:pPr>
      <w:r>
        <w:rPr>
          <w:sz w:val="24"/>
          <w:szCs w:val="24"/>
        </w:rPr>
      </w:r>
    </w:p>
    <w:p>
      <w:pPr>
        <w:pStyle w:val="BodyText"/>
        <w:jc w:val="both"/>
        <w:rPr>
          <w:sz w:val="24"/>
          <w:szCs w:val="24"/>
        </w:rPr>
      </w:pPr>
      <w:r>
        <w:rPr>
          <w:sz w:val="24"/>
          <w:szCs w:val="24"/>
        </w:rPr>
        <w:t>I dati dell'interessato sono raccolti per la finalità determinata, esplicita e legittima relativa alla gestione del processo/procedimento/attività. Successivamente alla raccolta, i dati sono trattati in modo che non sia incompatibile con la predetta finalità. Un ulteriore trattamento, a fini di archiviazione nel pubblico interesse, di ricerca scientifica o storica o a fini statistici non è, conformemente all'articolo 89, paragrafo 1 GDRP, considerato incompatibile con le finalità iniziali. I dati acquisiti vengono trattati esclusivamente per la finalità di gestione del processo/procedimento amministrativo per il quale vengono raccolti, incluse le fasi di controllo e monitoraggio, e possono essere trattati anche per la gestione dei processi/procedimenti connessi e trasversali, e relativi al controllo di qualità del servizio e alla misurazione e valutazione della performance. I dati possono essere trattati, altresì, per adempiere ad eventuali obblighi previsti dalla legislazione europea, dalla legislazione italiana, statale e regionale e dalla vigente normativa regolamentare. Si precisa che, 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 Si precisa, altresì, che i trattamenti di dati personali che rientrano nelle materie elencate nell' art. 2-sexies, c. 2, D.Lgs. 196/2003 si considerano di rilevante interesse pubblico.</w:t>
      </w:r>
    </w:p>
    <w:p>
      <w:pPr>
        <w:pStyle w:val="Normal"/>
        <w:jc w:val="both"/>
        <w:rPr>
          <w:i/>
          <w:strike/>
        </w:rPr>
      </w:pPr>
      <w:r>
        <w:rPr>
          <w:i/>
          <w:strike/>
        </w:rPr>
      </w:r>
    </w:p>
    <w:p>
      <w:pPr>
        <w:pStyle w:val="BodyText"/>
        <w:jc w:val="both"/>
        <w:rPr>
          <w:sz w:val="24"/>
          <w:szCs w:val="24"/>
        </w:rPr>
      </w:pPr>
      <w:r>
        <w:rPr>
          <w:b/>
          <w:sz w:val="24"/>
          <w:szCs w:val="24"/>
        </w:rPr>
        <w:t>Base giuridica</w:t>
      </w:r>
      <w:r>
        <w:rPr>
          <w:sz w:val="24"/>
          <w:szCs w:val="24"/>
        </w:rPr>
        <w:t xml:space="preserve"> Tali dati sono trattati in base ai seguenti presupposti di liceità:</w:t>
      </w:r>
    </w:p>
    <w:p>
      <w:pPr>
        <w:pStyle w:val="BodyText"/>
        <w:numPr>
          <w:ilvl w:val="0"/>
          <w:numId w:val="3"/>
        </w:numPr>
        <w:jc w:val="both"/>
        <w:rPr>
          <w:sz w:val="24"/>
          <w:szCs w:val="24"/>
        </w:rPr>
      </w:pPr>
      <w:r>
        <w:rPr>
          <w:sz w:val="24"/>
          <w:szCs w:val="24"/>
        </w:rPr>
        <w:t>il trattamento è necessario per l'esecuzione di un compito di interesse pubblico o connesso all'esercizio di pubblici poteri di cui è investito il titolare del trattamento</w:t>
      </w:r>
    </w:p>
    <w:p>
      <w:pPr>
        <w:pStyle w:val="BodyText"/>
        <w:numPr>
          <w:ilvl w:val="0"/>
          <w:numId w:val="3"/>
        </w:numPr>
        <w:jc w:val="both"/>
        <w:rPr>
          <w:sz w:val="24"/>
          <w:szCs w:val="24"/>
        </w:rPr>
      </w:pPr>
      <w:r>
        <w:rPr>
          <w:sz w:val="24"/>
          <w:szCs w:val="24"/>
        </w:rPr>
      </w:r>
    </w:p>
    <w:p>
      <w:pPr>
        <w:pStyle w:val="BodyText"/>
        <w:jc w:val="both"/>
        <w:rPr>
          <w:sz w:val="24"/>
          <w:szCs w:val="24"/>
        </w:rPr>
      </w:pPr>
      <w:r>
        <w:rPr>
          <w:b/>
          <w:sz w:val="24"/>
          <w:szCs w:val="24"/>
        </w:rPr>
        <w:t xml:space="preserve">Legittimi interessi: </w:t>
      </w:r>
      <w:r>
        <w:rPr>
          <w:sz w:val="24"/>
          <w:szCs w:val="24"/>
        </w:rPr>
        <w:t>Non si applica al trattamento di dati effettuato dalle autorità pubbliche, nell'esecuzione dei loro compiti, la condizione di liceità del legittimo interesse.</w:t>
      </w:r>
    </w:p>
    <w:p>
      <w:pPr>
        <w:pStyle w:val="Normal"/>
        <w:jc w:val="both"/>
        <w:rPr>
          <w:i/>
          <w:strike/>
        </w:rPr>
      </w:pPr>
      <w:r>
        <w:rPr>
          <w:i/>
          <w:strike/>
        </w:rPr>
      </w:r>
    </w:p>
    <w:p>
      <w:pPr>
        <w:pStyle w:val="BodyText"/>
        <w:jc w:val="both"/>
        <w:rPr>
          <w:b/>
          <w:bCs/>
          <w:sz w:val="24"/>
          <w:szCs w:val="24"/>
        </w:rPr>
      </w:pPr>
      <w:r>
        <w:rPr>
          <w:b/>
          <w:bCs/>
          <w:i/>
          <w:sz w:val="24"/>
          <w:szCs w:val="24"/>
        </w:rPr>
        <w:t xml:space="preserve">Oggetto del Trattamento </w:t>
      </w:r>
    </w:p>
    <w:p>
      <w:pPr>
        <w:pStyle w:val="BodyText"/>
        <w:jc w:val="both"/>
        <w:rPr>
          <w:sz w:val="24"/>
          <w:szCs w:val="24"/>
        </w:rPr>
      </w:pPr>
      <w:r>
        <w:rPr>
          <w:sz w:val="24"/>
          <w:szCs w:val="24"/>
        </w:rPr>
      </w:r>
    </w:p>
    <w:p>
      <w:pPr>
        <w:pStyle w:val="BodyText"/>
        <w:jc w:val="both"/>
        <w:rPr>
          <w:sz w:val="24"/>
          <w:szCs w:val="24"/>
        </w:rPr>
      </w:pPr>
      <w:r>
        <w:rPr>
          <w:sz w:val="24"/>
          <w:szCs w:val="24"/>
        </w:rPr>
        <w:t xml:space="preserve">I dati che verranno trattati da parte del titolare sono in via non esaustiva  </w:t>
      </w:r>
    </w:p>
    <w:p>
      <w:pPr>
        <w:pStyle w:val="BodyText"/>
        <w:jc w:val="both"/>
        <w:rPr>
          <w:sz w:val="24"/>
          <w:szCs w:val="24"/>
        </w:rPr>
      </w:pPr>
      <w:r>
        <w:rPr>
          <w:sz w:val="24"/>
          <w:szCs w:val="24"/>
        </w:rPr>
        <w:t>Dati personali e di contatto quali:</w:t>
      </w:r>
    </w:p>
    <w:p>
      <w:pPr>
        <w:pStyle w:val="BodyText"/>
        <w:numPr>
          <w:ilvl w:val="0"/>
          <w:numId w:val="3"/>
        </w:numPr>
        <w:jc w:val="both"/>
        <w:rPr>
          <w:sz w:val="24"/>
          <w:szCs w:val="24"/>
        </w:rPr>
      </w:pPr>
      <w:r>
        <w:rPr>
          <w:sz w:val="24"/>
          <w:szCs w:val="24"/>
        </w:rPr>
        <w:t>dati anagrafici, codice fiscale, dati anagrafici di residenza, domicilio, nascita, e-mail, numeri di telefono del cittadino;</w:t>
      </w:r>
    </w:p>
    <w:p>
      <w:pPr>
        <w:pStyle w:val="BodyText"/>
        <w:jc w:val="both"/>
        <w:rPr>
          <w:iCs/>
          <w:sz w:val="24"/>
          <w:szCs w:val="24"/>
        </w:rPr>
      </w:pPr>
      <w:r>
        <w:rPr>
          <w:iCs/>
          <w:sz w:val="24"/>
          <w:szCs w:val="24"/>
        </w:rPr>
      </w:r>
    </w:p>
    <w:p>
      <w:pPr>
        <w:pStyle w:val="BodyText"/>
        <w:jc w:val="both"/>
        <w:rPr>
          <w:sz w:val="24"/>
          <w:szCs w:val="24"/>
        </w:rPr>
      </w:pPr>
      <w:r>
        <w:rPr>
          <w:b/>
          <w:sz w:val="24"/>
          <w:szCs w:val="24"/>
        </w:rPr>
        <w:t>Modalità Trattamento dei Dati</w:t>
      </w:r>
    </w:p>
    <w:p>
      <w:pPr>
        <w:pStyle w:val="BodyText"/>
        <w:jc w:val="both"/>
        <w:rPr>
          <w:sz w:val="24"/>
          <w:szCs w:val="24"/>
        </w:rPr>
      </w:pPr>
      <w:r>
        <w:rPr>
          <w:sz w:val="24"/>
          <w:szCs w:val="24"/>
        </w:rPr>
        <w:t>In relazione alle finalità sopra descritte, i dati personali, contenuti in fascicoli, archivi/banche dati elettroniche e cartacee, sono trattati mediante strumenti elettronici, e senza strumenti elettronici, con modalità digitali e analogiche, e sono trasmessi attraverso reti non telematiche e telematiche unicamente dai soggetti designati e autorizzati al trattamento, operanti presso il titolare del trattamento, nonché dai responsabili e contitolari del trattamento.</w:t>
      </w:r>
    </w:p>
    <w:p>
      <w:pPr>
        <w:pStyle w:val="BodyText"/>
        <w:jc w:val="both"/>
        <w:rPr>
          <w:sz w:val="24"/>
          <w:szCs w:val="24"/>
        </w:rPr>
      </w:pPr>
      <w:r>
        <w:rPr>
          <w:sz w:val="24"/>
          <w:szCs w:val="24"/>
        </w:rPr>
        <w:t>A tutela dei dati, il Titolare adotta tutte le misure di sicurezza, tecniche e organizzative, indicate dal Regolamento, dal D. Lgs. n. 196/2003, dai provvedimenti del Garante, e definite dallo stesso titolare in base al principio di responsabilizzazione (accountability).</w:t>
      </w:r>
    </w:p>
    <w:p>
      <w:pPr>
        <w:pStyle w:val="BodyText"/>
        <w:jc w:val="both"/>
        <w:rPr>
          <w:sz w:val="24"/>
          <w:szCs w:val="24"/>
        </w:rPr>
      </w:pPr>
      <w:r>
        <w:rPr>
          <w:sz w:val="24"/>
          <w:szCs w:val="24"/>
        </w:rPr>
        <w:t>L’ente ha provveduto ad impartire ai propri incaricati istruzioni precise in merito alle condotte da tenere ad alle procedure da applicare per garantire la riservatezza dei dati dei propri utenti.</w:t>
      </w:r>
    </w:p>
    <w:p>
      <w:pPr>
        <w:pStyle w:val="BodyText"/>
        <w:jc w:val="both"/>
        <w:rPr>
          <w:sz w:val="24"/>
          <w:szCs w:val="24"/>
        </w:rPr>
      </w:pPr>
      <w:r>
        <w:rPr>
          <w:sz w:val="24"/>
          <w:szCs w:val="24"/>
        </w:rPr>
      </w:r>
    </w:p>
    <w:p>
      <w:pPr>
        <w:pStyle w:val="BodyText"/>
        <w:jc w:val="both"/>
        <w:rPr>
          <w:sz w:val="24"/>
          <w:szCs w:val="24"/>
        </w:rPr>
      </w:pPr>
      <w:bookmarkStart w:id="3" w:name="_2et92p0"/>
      <w:bookmarkEnd w:id="3"/>
      <w:r>
        <w:rPr>
          <w:b/>
          <w:sz w:val="24"/>
          <w:szCs w:val="24"/>
        </w:rPr>
        <w:t>Tempi di conservazione dei dati</w:t>
      </w:r>
    </w:p>
    <w:p>
      <w:pPr>
        <w:pStyle w:val="BodyText"/>
        <w:jc w:val="both"/>
        <w:rPr>
          <w:sz w:val="24"/>
          <w:szCs w:val="24"/>
        </w:rPr>
      </w:pPr>
      <w:r>
        <w:rPr>
          <w:sz w:val="24"/>
          <w:szCs w:val="24"/>
        </w:rPr>
        <w:t>I dati anagrafici relativi ai soggetti che presentano domanda verranno conservati unitamente alle stesse e non sono soggetti a pubblicazioni diverse da quelle previste dalle finalità del progetto salvo per i casi in cui ci sia un consenso esplicito.</w:t>
      </w:r>
    </w:p>
    <w:p>
      <w:pPr>
        <w:pStyle w:val="BodyText"/>
        <w:jc w:val="both"/>
        <w:rPr>
          <w:sz w:val="24"/>
          <w:szCs w:val="24"/>
        </w:rPr>
      </w:pPr>
      <w:r>
        <w:rPr>
          <w:sz w:val="24"/>
          <w:szCs w:val="24"/>
        </w:rPr>
        <w:t>.</w:t>
      </w:r>
    </w:p>
    <w:p>
      <w:pPr>
        <w:pStyle w:val="BodyText"/>
        <w:jc w:val="both"/>
        <w:rPr>
          <w:b/>
          <w:sz w:val="24"/>
          <w:szCs w:val="24"/>
        </w:rPr>
      </w:pPr>
      <w:bookmarkStart w:id="4" w:name="_3dy6vkm"/>
      <w:bookmarkEnd w:id="4"/>
      <w:r>
        <w:rPr>
          <w:b/>
          <w:sz w:val="24"/>
          <w:szCs w:val="24"/>
        </w:rPr>
        <w:t>Categorie di destinatari</w:t>
      </w:r>
    </w:p>
    <w:p>
      <w:pPr>
        <w:pStyle w:val="BodyText"/>
        <w:jc w:val="both"/>
        <w:rPr>
          <w:sz w:val="24"/>
          <w:szCs w:val="24"/>
        </w:rPr>
      </w:pPr>
      <w:r>
        <w:rPr>
          <w:sz w:val="24"/>
          <w:szCs w:val="24"/>
        </w:rPr>
        <w:t>I soggetti che possono essere destinatari della comunicazione dei dati sono:</w:t>
      </w:r>
    </w:p>
    <w:p>
      <w:pPr>
        <w:pStyle w:val="BodyText"/>
        <w:numPr>
          <w:ilvl w:val="0"/>
          <w:numId w:val="4"/>
        </w:numPr>
        <w:jc w:val="both"/>
        <w:rPr>
          <w:sz w:val="24"/>
          <w:szCs w:val="24"/>
        </w:rPr>
      </w:pPr>
      <w:r>
        <w:rPr>
          <w:sz w:val="24"/>
          <w:szCs w:val="24"/>
        </w:rPr>
        <w:t>da dipendenti e collaboratori del Comune che svolgano attività funzionalmente collegate alle finalità definite;</w:t>
      </w:r>
    </w:p>
    <w:p>
      <w:pPr>
        <w:pStyle w:val="BodyText"/>
        <w:numPr>
          <w:ilvl w:val="0"/>
          <w:numId w:val="4"/>
        </w:numPr>
        <w:jc w:val="both"/>
        <w:rPr>
          <w:sz w:val="24"/>
          <w:szCs w:val="24"/>
        </w:rPr>
      </w:pPr>
      <w:r>
        <w:rPr>
          <w:sz w:val="24"/>
          <w:szCs w:val="24"/>
        </w:rPr>
        <w:t>amministrazioni pubbliche di cui all'art. 2, co.1 D.Lgs. 165/2001 e/o amministrazioni inserite nell'Elenco ISTAT (amministrazioni inserite nel conto economico consolidato individuate ai sensi dell'articolo 1, comma 3 della legge 31 dicembre 2009, n. 196) a cui i dati vanno comunicati per assolvere alla finalità del trattamento, e che possono assumere il ruolo di responsabile o contitolare del trattamento;</w:t>
      </w:r>
    </w:p>
    <w:p>
      <w:pPr>
        <w:pStyle w:val="BodyText"/>
        <w:numPr>
          <w:ilvl w:val="0"/>
          <w:numId w:val="4"/>
        </w:numPr>
        <w:jc w:val="both"/>
        <w:rPr>
          <w:sz w:val="24"/>
          <w:szCs w:val="24"/>
        </w:rPr>
      </w:pPr>
      <w:r>
        <w:rPr>
          <w:sz w:val="24"/>
          <w:szCs w:val="24"/>
        </w:rPr>
        <w:t xml:space="preserve">soggetti privati a cui i dati vanno comunicati per assolvere alla finalità del trattamento, e che possono assumere il ruolo di responsabile o contitolare del trattamento. </w:t>
      </w:r>
    </w:p>
    <w:p>
      <w:pPr>
        <w:pStyle w:val="BodyText"/>
        <w:numPr>
          <w:ilvl w:val="0"/>
          <w:numId w:val="4"/>
        </w:numPr>
        <w:jc w:val="both"/>
        <w:rPr>
          <w:sz w:val="24"/>
          <w:szCs w:val="24"/>
        </w:rPr>
      </w:pPr>
      <w:r>
        <w:rPr>
          <w:sz w:val="24"/>
          <w:szCs w:val="24"/>
        </w:rPr>
      </w:r>
    </w:p>
    <w:p>
      <w:pPr>
        <w:pStyle w:val="BodyText"/>
        <w:jc w:val="both"/>
        <w:rPr>
          <w:sz w:val="24"/>
          <w:szCs w:val="24"/>
        </w:rPr>
      </w:pPr>
      <w:bookmarkStart w:id="5" w:name="_1t3h5sf"/>
      <w:bookmarkEnd w:id="5"/>
      <w:r>
        <w:rPr>
          <w:b/>
          <w:sz w:val="24"/>
          <w:szCs w:val="24"/>
        </w:rPr>
        <w:t>Comunicazione e Diffusione dei dati.</w:t>
      </w:r>
    </w:p>
    <w:p>
      <w:pPr>
        <w:pStyle w:val="BodyText"/>
        <w:jc w:val="both"/>
        <w:rPr>
          <w:sz w:val="24"/>
          <w:szCs w:val="24"/>
        </w:rPr>
      </w:pPr>
      <w:bookmarkStart w:id="6" w:name="_4d34og8"/>
      <w:bookmarkEnd w:id="6"/>
      <w:r>
        <w:rPr>
          <w:sz w:val="24"/>
          <w:szCs w:val="24"/>
        </w:rPr>
        <w:t xml:space="preserve">Per le finalità precedentemente descritte, i suoi dati personali possono essere comunicati, pubblicati sui siti internet, sui canali social e su carta stampata e/o su qualsiasi altro mezzo di diffusione/pubblicazione anche atipico dell'ente o di terzi (testate giornalistiche).  </w:t>
      </w:r>
    </w:p>
    <w:p>
      <w:pPr>
        <w:pStyle w:val="BodyText"/>
        <w:jc w:val="both"/>
        <w:rPr>
          <w:sz w:val="24"/>
          <w:szCs w:val="24"/>
        </w:rPr>
      </w:pPr>
      <w:r>
        <w:rPr>
          <w:sz w:val="24"/>
          <w:szCs w:val="24"/>
        </w:rPr>
        <w:t>I dati trattati dal titolare non sono soggetti a trasferimento in altro stato che non appartenga all’Unione Europea.</w:t>
      </w:r>
    </w:p>
    <w:p>
      <w:pPr>
        <w:pStyle w:val="BodyText"/>
        <w:jc w:val="both"/>
        <w:rPr>
          <w:sz w:val="24"/>
          <w:szCs w:val="24"/>
        </w:rPr>
      </w:pPr>
      <w:bookmarkStart w:id="7" w:name="_2s8eyo1"/>
      <w:bookmarkEnd w:id="7"/>
      <w:r>
        <w:rPr>
          <w:b/>
          <w:sz w:val="24"/>
          <w:szCs w:val="24"/>
        </w:rPr>
        <w:t xml:space="preserve">Diritti dell'interessato: </w:t>
      </w:r>
      <w:r>
        <w:rPr>
          <w:sz w:val="24"/>
          <w:szCs w:val="24"/>
        </w:rPr>
        <w:t xml:space="preserve">L'interessato può esercitare il diritto di chiedere l'accesso ai dati personali; chiedere la rettifica; chiedere la cancellazione ("diritto all'oblio"); chiedere la limitazione del trattamento; chiedere la portabilità dei dati; di opporsi al trattamento; di non essere sottoposto a processo decisionale automatizzato, compresa la profilazione. </w:t>
      </w:r>
    </w:p>
    <w:p>
      <w:pPr>
        <w:pStyle w:val="BodyText"/>
        <w:jc w:val="both"/>
        <w:rPr>
          <w:i/>
          <w:sz w:val="24"/>
          <w:szCs w:val="24"/>
        </w:rPr>
      </w:pPr>
      <w:r>
        <w:rPr>
          <w:i/>
          <w:sz w:val="24"/>
          <w:szCs w:val="24"/>
        </w:rPr>
      </w:r>
    </w:p>
    <w:p>
      <w:pPr>
        <w:pStyle w:val="BodyText"/>
        <w:jc w:val="both"/>
        <w:rPr>
          <w:b/>
          <w:sz w:val="24"/>
          <w:szCs w:val="24"/>
        </w:rPr>
      </w:pPr>
      <w:r>
        <w:rPr>
          <w:b/>
          <w:sz w:val="24"/>
          <w:szCs w:val="24"/>
        </w:rPr>
        <w:t>Principi e regole per il Trattamento</w:t>
      </w:r>
    </w:p>
    <w:p>
      <w:pPr>
        <w:pStyle w:val="BodyText"/>
        <w:jc w:val="both"/>
        <w:rPr>
          <w:sz w:val="24"/>
          <w:szCs w:val="24"/>
        </w:rPr>
      </w:pPr>
      <w:r>
        <w:rPr>
          <w:sz w:val="24"/>
          <w:szCs w:val="24"/>
        </w:rPr>
        <w:t>Il trattamento delle informazioni sarà improntato ai principi di correttezza, liceità e trasparenza e di tutela della Sua riservatezza e dei Suoi diritti. Inoltre i dati che verranno raccolti sono quelli essenziali per gestire il procedimento nel rispetto del principio di minimizzazione previsto dal Regolamento UE 679/2016.</w:t>
      </w:r>
    </w:p>
    <w:p>
      <w:pPr>
        <w:pStyle w:val="BodyText"/>
        <w:jc w:val="both"/>
        <w:rPr>
          <w:sz w:val="24"/>
          <w:szCs w:val="24"/>
        </w:rPr>
      </w:pPr>
      <w:r>
        <w:rPr>
          <w:sz w:val="24"/>
          <w:szCs w:val="24"/>
        </w:rPr>
      </w:r>
    </w:p>
    <w:p>
      <w:pPr>
        <w:pStyle w:val="Normal"/>
        <w:jc w:val="both"/>
        <w:rPr>
          <w:i/>
          <w:strike/>
        </w:rPr>
      </w:pPr>
      <w:r>
        <w:rPr>
          <w:i/>
          <w:strike/>
        </w:rPr>
      </w:r>
    </w:p>
    <w:sectPr>
      <w:footerReference w:type="even" r:id="rId3"/>
      <w:footerReference w:type="default" r:id="rId4"/>
      <w:footerReference w:type="first" r:id="rId5"/>
      <w:type w:val="nextPage"/>
      <w:pgSz w:w="11906" w:h="16838"/>
      <w:pgMar w:left="850" w:right="992" w:gutter="0" w:header="0" w:top="1560" w:footer="1092" w:bottom="1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arlett">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0" distB="0" distL="0" distR="0" simplePos="0" relativeHeight="14" behindDoc="1" locked="0" layoutInCell="0" allowOverlap="1">
              <wp:simplePos x="0" y="0"/>
              <wp:positionH relativeFrom="page">
                <wp:posOffset>1819910</wp:posOffset>
              </wp:positionH>
              <wp:positionV relativeFrom="page">
                <wp:posOffset>9859010</wp:posOffset>
              </wp:positionV>
              <wp:extent cx="3817620" cy="533400"/>
              <wp:effectExtent l="0" t="0" r="0" b="0"/>
              <wp:wrapNone/>
              <wp:docPr id="3" name="Cornice2"/>
              <a:graphic xmlns:a="http://schemas.openxmlformats.org/drawingml/2006/main">
                <a:graphicData uri="http://schemas.microsoft.com/office/word/2010/wordprocessingShape">
                  <wps:wsp>
                    <wps:cNvSpPr/>
                    <wps:spPr>
                      <a:xfrm>
                        <a:off x="0" y="0"/>
                        <a:ext cx="3817800" cy="533520"/>
                      </a:xfrm>
                      <a:prstGeom prst="rect">
                        <a:avLst/>
                      </a:prstGeom>
                      <a:noFill/>
                      <a:ln w="0">
                        <a:noFill/>
                      </a:ln>
                    </wps:spPr>
                    <wps:style>
                      <a:lnRef idx="0"/>
                      <a:fillRef idx="0"/>
                      <a:effectRef idx="0"/>
                      <a:fontRef idx="minor"/>
                    </wps:style>
                    <wps:txbx>
                      <w:txbxContent>
                        <w:p>
                          <w:pPr>
                            <w:pStyle w:val="Contenutocorniceuser"/>
                            <w:spacing w:before="12" w:after="0"/>
                            <w:ind w:left="2"/>
                            <w:jc w:val="center"/>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7</w:t>
                          </w:r>
                          <w:r>
                            <w:rPr>
                              <w:spacing w:val="-10"/>
                              <w:sz w:val="18"/>
                            </w:rPr>
                            <w:fldChar w:fldCharType="end"/>
                          </w:r>
                        </w:p>
                        <w:p>
                          <w:pPr>
                            <w:pStyle w:val="Contenutocorniceuser"/>
                            <w:spacing w:before="2" w:after="0"/>
                            <w:ind w:left="2" w:right="2"/>
                            <w:jc w:val="center"/>
                            <w:rPr>
                              <w:sz w:val="20"/>
                            </w:rPr>
                          </w:pPr>
                          <w:r>
                            <w:rPr>
                              <w:sz w:val="20"/>
                            </w:rPr>
                          </w:r>
                        </w:p>
                      </w:txbxContent>
                    </wps:txbx>
                    <wps:bodyPr lIns="0" tIns="0" rIns="0" bIns="0" anchor="t">
                      <a:noAutofit/>
                    </wps:bodyPr>
                  </wps:wsp>
                </a:graphicData>
              </a:graphic>
            </wp:anchor>
          </w:drawing>
        </mc:Choice>
        <mc:Fallback>
          <w:pict>
            <v:rect id="shape_0" fillcolor="white" stroked="f" o:allowincell="f" style="position:absolute;margin-left:143.3pt;margin-top:776.3pt;width:300.55pt;height:41.95pt;mso-wrap-style:square;v-text-anchor:top;mso-position-horizontal-relative:page;mso-position-vertical-relative:page">
              <v:fill o:detectmouseclick="t" type="solid" color2="black" opacity="0"/>
              <v:stroke color="#3465a4" joinstyle="round" endcap="flat"/>
              <v:textbox>
                <w:txbxContent>
                  <w:p>
                    <w:pPr>
                      <w:pStyle w:val="Contenutocorniceuser"/>
                      <w:spacing w:before="12" w:after="0"/>
                      <w:ind w:left="2"/>
                      <w:jc w:val="center"/>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7</w:t>
                    </w:r>
                    <w:r>
                      <w:rPr>
                        <w:spacing w:val="-10"/>
                        <w:sz w:val="18"/>
                      </w:rPr>
                      <w:fldChar w:fldCharType="end"/>
                    </w:r>
                  </w:p>
                  <w:p>
                    <w:pPr>
                      <w:pStyle w:val="Contenutocorniceuser"/>
                      <w:spacing w:before="2" w:after="0"/>
                      <w:ind w:left="2" w:right="2"/>
                      <w:jc w:val="center"/>
                      <w:rPr>
                        <w:sz w:val="20"/>
                      </w:rPr>
                    </w:pPr>
                    <w:r>
                      <w:rPr>
                        <w:sz w:val="20"/>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0" distB="0" distL="0" distR="0" simplePos="0" relativeHeight="14" behindDoc="1" locked="0" layoutInCell="0" allowOverlap="1">
              <wp:simplePos x="0" y="0"/>
              <wp:positionH relativeFrom="page">
                <wp:posOffset>1819910</wp:posOffset>
              </wp:positionH>
              <wp:positionV relativeFrom="page">
                <wp:posOffset>9859010</wp:posOffset>
              </wp:positionV>
              <wp:extent cx="3817620" cy="533400"/>
              <wp:effectExtent l="0" t="0" r="0" b="0"/>
              <wp:wrapNone/>
              <wp:docPr id="4" name="Cornice2"/>
              <a:graphic xmlns:a="http://schemas.openxmlformats.org/drawingml/2006/main">
                <a:graphicData uri="http://schemas.microsoft.com/office/word/2010/wordprocessingShape">
                  <wps:wsp>
                    <wps:cNvSpPr/>
                    <wps:spPr>
                      <a:xfrm>
                        <a:off x="0" y="0"/>
                        <a:ext cx="3817800" cy="533520"/>
                      </a:xfrm>
                      <a:prstGeom prst="rect">
                        <a:avLst/>
                      </a:prstGeom>
                      <a:noFill/>
                      <a:ln w="0">
                        <a:noFill/>
                      </a:ln>
                    </wps:spPr>
                    <wps:style>
                      <a:lnRef idx="0"/>
                      <a:fillRef idx="0"/>
                      <a:effectRef idx="0"/>
                      <a:fontRef idx="minor"/>
                    </wps:style>
                    <wps:txbx>
                      <w:txbxContent>
                        <w:p>
                          <w:pPr>
                            <w:pStyle w:val="Contenutocorniceuser"/>
                            <w:spacing w:before="12" w:after="0"/>
                            <w:ind w:left="2"/>
                            <w:jc w:val="center"/>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7</w:t>
                          </w:r>
                          <w:r>
                            <w:rPr>
                              <w:spacing w:val="-10"/>
                              <w:sz w:val="18"/>
                            </w:rPr>
                            <w:fldChar w:fldCharType="end"/>
                          </w:r>
                        </w:p>
                        <w:p>
                          <w:pPr>
                            <w:pStyle w:val="Contenutocorniceuser"/>
                            <w:spacing w:before="2" w:after="0"/>
                            <w:ind w:left="2" w:right="2"/>
                            <w:jc w:val="center"/>
                            <w:rPr>
                              <w:sz w:val="20"/>
                            </w:rPr>
                          </w:pPr>
                          <w:r>
                            <w:rPr>
                              <w:sz w:val="20"/>
                            </w:rPr>
                          </w:r>
                        </w:p>
                      </w:txbxContent>
                    </wps:txbx>
                    <wps:bodyPr lIns="0" tIns="0" rIns="0" bIns="0" anchor="t">
                      <a:noAutofit/>
                    </wps:bodyPr>
                  </wps:wsp>
                </a:graphicData>
              </a:graphic>
            </wp:anchor>
          </w:drawing>
        </mc:Choice>
        <mc:Fallback>
          <w:pict>
            <v:rect id="shape_0" fillcolor="white" stroked="f" o:allowincell="f" style="position:absolute;margin-left:143.3pt;margin-top:776.3pt;width:300.55pt;height:41.95pt;mso-wrap-style:square;v-text-anchor:top;mso-position-horizontal-relative:page;mso-position-vertical-relative:page">
              <v:fill o:detectmouseclick="t" type="solid" color2="black" opacity="0"/>
              <v:stroke color="#3465a4" joinstyle="round" endcap="flat"/>
              <v:textbox>
                <w:txbxContent>
                  <w:p>
                    <w:pPr>
                      <w:pStyle w:val="Contenutocorniceuser"/>
                      <w:spacing w:before="12" w:after="0"/>
                      <w:ind w:left="2"/>
                      <w:jc w:val="center"/>
                      <w:rPr>
                        <w:sz w:val="18"/>
                      </w:rPr>
                    </w:pPr>
                    <w:r>
                      <w:rPr>
                        <w:spacing w:val="-10"/>
                        <w:sz w:val="18"/>
                      </w:rPr>
                      <w:fldChar w:fldCharType="begin"/>
                    </w:r>
                    <w:r>
                      <w:rPr>
                        <w:spacing w:val="-10"/>
                        <w:sz w:val="18"/>
                      </w:rPr>
                      <w:instrText xml:space="preserve"> PAGE </w:instrText>
                    </w:r>
                    <w:r>
                      <w:rPr>
                        <w:spacing w:val="-10"/>
                        <w:sz w:val="18"/>
                      </w:rPr>
                      <w:fldChar w:fldCharType="separate"/>
                    </w:r>
                    <w:r>
                      <w:rPr>
                        <w:spacing w:val="-10"/>
                        <w:sz w:val="18"/>
                      </w:rPr>
                      <w:t>7</w:t>
                    </w:r>
                    <w:r>
                      <w:rPr>
                        <w:spacing w:val="-10"/>
                        <w:sz w:val="18"/>
                      </w:rPr>
                      <w:fldChar w:fldCharType="end"/>
                    </w:r>
                  </w:p>
                  <w:p>
                    <w:pPr>
                      <w:pStyle w:val="Contenutocorniceuser"/>
                      <w:spacing w:before="2" w:after="0"/>
                      <w:ind w:left="2" w:right="2"/>
                      <w:jc w:val="center"/>
                      <w:rPr>
                        <w:sz w:val="20"/>
                      </w:rPr>
                    </w:pPr>
                    <w:r>
                      <w:rPr>
                        <w:sz w:val="20"/>
                      </w:rPr>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88" w:hanging="360"/>
      </w:pPr>
      <w:rPr>
        <w:spacing w:val="-2"/>
        <w:w w:val="100"/>
        <w:lang w:val="it-IT" w:eastAsia="en-US" w:bidi="ar-SA"/>
      </w:rPr>
    </w:lvl>
    <w:lvl w:ilvl="1">
      <w:start w:val="0"/>
      <w:numFmt w:val="bullet"/>
      <w:lvlText w:val=""/>
      <w:lvlJc w:val="left"/>
      <w:pPr>
        <w:tabs>
          <w:tab w:val="num" w:pos="0"/>
        </w:tabs>
        <w:ind w:left="788" w:hanging="360"/>
      </w:pPr>
      <w:rPr>
        <w:rFonts w:ascii="Symbol" w:hAnsi="Symbol" w:cs="Symbol" w:hint="default"/>
        <w:b w:val="false"/>
        <w:bCs w:val="false"/>
        <w:i w:val="false"/>
        <w:iCs w:val="false"/>
        <w:spacing w:val="0"/>
        <w:w w:val="100"/>
        <w:sz w:val="20"/>
        <w:szCs w:val="20"/>
        <w:lang w:val="it-IT" w:eastAsia="en-US" w:bidi="ar-SA"/>
      </w:rPr>
    </w:lvl>
    <w:lvl w:ilvl="2">
      <w:start w:val="0"/>
      <w:numFmt w:val="bullet"/>
      <w:lvlText w:val=""/>
      <w:lvlJc w:val="left"/>
      <w:pPr>
        <w:tabs>
          <w:tab w:val="num" w:pos="0"/>
        </w:tabs>
        <w:ind w:left="2636" w:hanging="360"/>
      </w:pPr>
      <w:rPr>
        <w:rFonts w:ascii="Symbol" w:hAnsi="Symbol" w:cs="Symbol" w:hint="default"/>
        <w:lang w:val="it-IT" w:eastAsia="en-US" w:bidi="ar-SA"/>
      </w:rPr>
    </w:lvl>
    <w:lvl w:ilvl="3">
      <w:start w:val="0"/>
      <w:numFmt w:val="bullet"/>
      <w:lvlText w:val=""/>
      <w:lvlJc w:val="left"/>
      <w:pPr>
        <w:tabs>
          <w:tab w:val="num" w:pos="0"/>
        </w:tabs>
        <w:ind w:left="3565" w:hanging="360"/>
      </w:pPr>
      <w:rPr>
        <w:rFonts w:ascii="Symbol" w:hAnsi="Symbol" w:cs="Symbol" w:hint="default"/>
        <w:lang w:val="it-IT" w:eastAsia="en-US" w:bidi="ar-SA"/>
      </w:rPr>
    </w:lvl>
    <w:lvl w:ilvl="4">
      <w:start w:val="0"/>
      <w:numFmt w:val="bullet"/>
      <w:lvlText w:val=""/>
      <w:lvlJc w:val="left"/>
      <w:pPr>
        <w:tabs>
          <w:tab w:val="num" w:pos="0"/>
        </w:tabs>
        <w:ind w:left="4493" w:hanging="360"/>
      </w:pPr>
      <w:rPr>
        <w:rFonts w:ascii="Symbol" w:hAnsi="Symbol" w:cs="Symbol" w:hint="default"/>
        <w:lang w:val="it-IT" w:eastAsia="en-US" w:bidi="ar-SA"/>
      </w:rPr>
    </w:lvl>
    <w:lvl w:ilvl="5">
      <w:start w:val="0"/>
      <w:numFmt w:val="bullet"/>
      <w:lvlText w:val=""/>
      <w:lvlJc w:val="left"/>
      <w:pPr>
        <w:tabs>
          <w:tab w:val="num" w:pos="0"/>
        </w:tabs>
        <w:ind w:left="5422" w:hanging="360"/>
      </w:pPr>
      <w:rPr>
        <w:rFonts w:ascii="Symbol" w:hAnsi="Symbol" w:cs="Symbol" w:hint="default"/>
        <w:lang w:val="it-IT" w:eastAsia="en-US" w:bidi="ar-SA"/>
      </w:rPr>
    </w:lvl>
    <w:lvl w:ilvl="6">
      <w:start w:val="0"/>
      <w:numFmt w:val="bullet"/>
      <w:lvlText w:val=""/>
      <w:lvlJc w:val="left"/>
      <w:pPr>
        <w:tabs>
          <w:tab w:val="num" w:pos="0"/>
        </w:tabs>
        <w:ind w:left="6350" w:hanging="360"/>
      </w:pPr>
      <w:rPr>
        <w:rFonts w:ascii="Symbol" w:hAnsi="Symbol" w:cs="Symbol" w:hint="default"/>
        <w:lang w:val="it-IT" w:eastAsia="en-US" w:bidi="ar-SA"/>
      </w:rPr>
    </w:lvl>
    <w:lvl w:ilvl="7">
      <w:start w:val="0"/>
      <w:numFmt w:val="bullet"/>
      <w:lvlText w:val=""/>
      <w:lvlJc w:val="left"/>
      <w:pPr>
        <w:tabs>
          <w:tab w:val="num" w:pos="0"/>
        </w:tabs>
        <w:ind w:left="7278" w:hanging="360"/>
      </w:pPr>
      <w:rPr>
        <w:rFonts w:ascii="Symbol" w:hAnsi="Symbol" w:cs="Symbol" w:hint="default"/>
        <w:lang w:val="it-IT" w:eastAsia="en-US" w:bidi="ar-SA"/>
      </w:rPr>
    </w:lvl>
    <w:lvl w:ilvl="8">
      <w:start w:val="0"/>
      <w:numFmt w:val="bullet"/>
      <w:lvlText w:val=""/>
      <w:lvlJc w:val="left"/>
      <w:pPr>
        <w:tabs>
          <w:tab w:val="num" w:pos="0"/>
        </w:tabs>
        <w:ind w:left="8207" w:hanging="360"/>
      </w:pPr>
      <w:rPr>
        <w:rFonts w:ascii="Symbol" w:hAnsi="Symbol" w:cs="Symbol" w:hint="default"/>
        <w:lang w:val="it-IT" w:eastAsia="en-US" w:bidi="ar-SA"/>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strike w:val="false"/>
        <w:dstrike w:val="false"/>
        <w:u w:val="none"/>
        <w:effect w:val="none"/>
      </w:rPr>
    </w:lvl>
    <w:lvl w:ilvl="1">
      <w:start w:val="1"/>
      <w:numFmt w:val="bullet"/>
      <w:lvlText w:val="o"/>
      <w:lvlJc w:val="left"/>
      <w:pPr>
        <w:tabs>
          <w:tab w:val="num" w:pos="0"/>
        </w:tabs>
        <w:ind w:left="1440" w:hanging="360"/>
      </w:pPr>
      <w:rPr>
        <w:rFonts w:ascii="OpenSymbol" w:hAnsi="OpenSymbol" w:cs="OpenSymbol" w:hint="default"/>
        <w:strike w:val="false"/>
        <w:dstrike w:val="false"/>
        <w:u w:val="none"/>
        <w:effect w:val="none"/>
      </w:rPr>
    </w:lvl>
    <w:lvl w:ilvl="2">
      <w:start w:val="1"/>
      <w:numFmt w:val="bullet"/>
      <w:lvlText w:val="▪"/>
      <w:lvlJc w:val="left"/>
      <w:pPr>
        <w:tabs>
          <w:tab w:val="num" w:pos="0"/>
        </w:tabs>
        <w:ind w:left="2160" w:hanging="360"/>
      </w:pPr>
      <w:rPr>
        <w:rFonts w:ascii="OpenSymbol" w:hAnsi="OpenSymbol" w:cs="OpenSymbol" w:hint="default"/>
        <w:strike w:val="false"/>
        <w:dstrike w:val="false"/>
        <w:u w:val="none"/>
        <w:effect w:val="none"/>
      </w:rPr>
    </w:lvl>
    <w:lvl w:ilvl="3">
      <w:start w:val="1"/>
      <w:numFmt w:val="bullet"/>
      <w:lvlText w:val=""/>
      <w:lvlJc w:val="left"/>
      <w:pPr>
        <w:tabs>
          <w:tab w:val="num" w:pos="0"/>
        </w:tabs>
        <w:ind w:left="2880" w:hanging="360"/>
      </w:pPr>
      <w:rPr>
        <w:rFonts w:ascii="Wingdings" w:hAnsi="Wingdings" w:cs="Wingdings" w:hint="default"/>
        <w:strike w:val="false"/>
        <w:dstrike w:val="false"/>
        <w:u w:val="none"/>
        <w:effect w:val="none"/>
      </w:rPr>
    </w:lvl>
    <w:lvl w:ilvl="4">
      <w:start w:val="1"/>
      <w:numFmt w:val="bullet"/>
      <w:lvlText w:val="o"/>
      <w:lvlJc w:val="left"/>
      <w:pPr>
        <w:tabs>
          <w:tab w:val="num" w:pos="0"/>
        </w:tabs>
        <w:ind w:left="3600" w:hanging="360"/>
      </w:pPr>
      <w:rPr>
        <w:rFonts w:ascii="OpenSymbol" w:hAnsi="OpenSymbol" w:cs="OpenSymbol" w:hint="default"/>
        <w:strike w:val="false"/>
        <w:dstrike w:val="false"/>
        <w:u w:val="none"/>
        <w:effect w:val="none"/>
      </w:rPr>
    </w:lvl>
    <w:lvl w:ilvl="5">
      <w:start w:val="1"/>
      <w:numFmt w:val="bullet"/>
      <w:lvlText w:val="▪"/>
      <w:lvlJc w:val="left"/>
      <w:pPr>
        <w:tabs>
          <w:tab w:val="num" w:pos="0"/>
        </w:tabs>
        <w:ind w:left="4320" w:hanging="360"/>
      </w:pPr>
      <w:rPr>
        <w:rFonts w:ascii="OpenSymbol" w:hAnsi="OpenSymbol" w:cs="OpenSymbol" w:hint="default"/>
        <w:strike w:val="false"/>
        <w:dstrike w:val="false"/>
        <w:u w:val="none"/>
        <w:effect w:val="none"/>
      </w:rPr>
    </w:lvl>
    <w:lvl w:ilvl="6">
      <w:start w:val="1"/>
      <w:numFmt w:val="bullet"/>
      <w:lvlText w:val=""/>
      <w:lvlJc w:val="left"/>
      <w:pPr>
        <w:tabs>
          <w:tab w:val="num" w:pos="0"/>
        </w:tabs>
        <w:ind w:left="5040" w:hanging="360"/>
      </w:pPr>
      <w:rPr>
        <w:rFonts w:ascii="Wingdings" w:hAnsi="Wingdings" w:cs="Wingdings" w:hint="default"/>
        <w:strike w:val="false"/>
        <w:dstrike w:val="false"/>
        <w:u w:val="none"/>
        <w:effect w:val="none"/>
      </w:rPr>
    </w:lvl>
    <w:lvl w:ilvl="7">
      <w:start w:val="1"/>
      <w:numFmt w:val="bullet"/>
      <w:lvlText w:val="o"/>
      <w:lvlJc w:val="left"/>
      <w:pPr>
        <w:tabs>
          <w:tab w:val="num" w:pos="0"/>
        </w:tabs>
        <w:ind w:left="5760" w:hanging="360"/>
      </w:pPr>
      <w:rPr>
        <w:rFonts w:ascii="OpenSymbol" w:hAnsi="OpenSymbol" w:cs="OpenSymbol" w:hint="default"/>
        <w:strike w:val="false"/>
        <w:dstrike w:val="false"/>
        <w:u w:val="none"/>
        <w:effect w:val="none"/>
      </w:rPr>
    </w:lvl>
    <w:lvl w:ilvl="8">
      <w:start w:val="1"/>
      <w:numFmt w:val="bullet"/>
      <w:lvlText w:val="▪"/>
      <w:lvlJc w:val="left"/>
      <w:pPr>
        <w:tabs>
          <w:tab w:val="num" w:pos="0"/>
        </w:tabs>
        <w:ind w:left="6480" w:hanging="360"/>
      </w:pPr>
      <w:rPr>
        <w:rFonts w:ascii="OpenSymbol" w:hAnsi="OpenSymbol" w:cs="OpenSymbol" w:hint="default"/>
        <w:strike w:val="false"/>
        <w:dstrike w:val="false"/>
        <w:u w:val="none"/>
        <w:effect w:val="none"/>
      </w:rPr>
    </w:lvl>
  </w:abstractNum>
  <w:abstractNum w:abstractNumId="4">
    <w:lvl w:ilvl="0">
      <w:start w:val="1"/>
      <w:numFmt w:val="bullet"/>
      <w:lvlText w:val=""/>
      <w:lvlJc w:val="left"/>
      <w:pPr>
        <w:tabs>
          <w:tab w:val="num" w:pos="0"/>
        </w:tabs>
        <w:ind w:left="720" w:hanging="360"/>
      </w:pPr>
      <w:rPr>
        <w:rFonts w:ascii="Symbol" w:hAnsi="Symbol" w:cs="Symbol" w:hint="default"/>
        <w:strike w:val="false"/>
        <w:dstrike w:val="false"/>
        <w:u w:val="none"/>
        <w:effect w:val="none"/>
      </w:rPr>
    </w:lvl>
    <w:lvl w:ilvl="1">
      <w:start w:val="1"/>
      <w:numFmt w:val="bullet"/>
      <w:lvlText w:val="o"/>
      <w:lvlJc w:val="left"/>
      <w:pPr>
        <w:tabs>
          <w:tab w:val="num" w:pos="0"/>
        </w:tabs>
        <w:ind w:left="1440" w:hanging="360"/>
      </w:pPr>
      <w:rPr>
        <w:rFonts w:ascii="OpenSymbol" w:hAnsi="OpenSymbol" w:cs="OpenSymbol" w:hint="default"/>
        <w:strike w:val="false"/>
        <w:dstrike w:val="false"/>
        <w:u w:val="none"/>
        <w:effect w:val="none"/>
      </w:rPr>
    </w:lvl>
    <w:lvl w:ilvl="2">
      <w:start w:val="1"/>
      <w:numFmt w:val="bullet"/>
      <w:lvlText w:val="▪"/>
      <w:lvlJc w:val="left"/>
      <w:pPr>
        <w:tabs>
          <w:tab w:val="num" w:pos="0"/>
        </w:tabs>
        <w:ind w:left="2160" w:hanging="360"/>
      </w:pPr>
      <w:rPr>
        <w:rFonts w:ascii="OpenSymbol" w:hAnsi="OpenSymbol" w:cs="OpenSymbol" w:hint="default"/>
        <w:strike w:val="false"/>
        <w:dstrike w:val="false"/>
        <w:u w:val="none"/>
        <w:effect w:val="none"/>
      </w:rPr>
    </w:lvl>
    <w:lvl w:ilvl="3">
      <w:start w:val="1"/>
      <w:numFmt w:val="bullet"/>
      <w:lvlText w:val=""/>
      <w:lvlJc w:val="left"/>
      <w:pPr>
        <w:tabs>
          <w:tab w:val="num" w:pos="0"/>
        </w:tabs>
        <w:ind w:left="2880" w:hanging="360"/>
      </w:pPr>
      <w:rPr>
        <w:rFonts w:ascii="Wingdings" w:hAnsi="Wingdings" w:cs="Wingdings" w:hint="default"/>
        <w:strike w:val="false"/>
        <w:dstrike w:val="false"/>
        <w:u w:val="none"/>
        <w:effect w:val="none"/>
      </w:rPr>
    </w:lvl>
    <w:lvl w:ilvl="4">
      <w:start w:val="1"/>
      <w:numFmt w:val="bullet"/>
      <w:lvlText w:val="o"/>
      <w:lvlJc w:val="left"/>
      <w:pPr>
        <w:tabs>
          <w:tab w:val="num" w:pos="0"/>
        </w:tabs>
        <w:ind w:left="3600" w:hanging="360"/>
      </w:pPr>
      <w:rPr>
        <w:rFonts w:ascii="OpenSymbol" w:hAnsi="OpenSymbol" w:cs="OpenSymbol" w:hint="default"/>
        <w:strike w:val="false"/>
        <w:dstrike w:val="false"/>
        <w:u w:val="none"/>
        <w:effect w:val="none"/>
      </w:rPr>
    </w:lvl>
    <w:lvl w:ilvl="5">
      <w:start w:val="1"/>
      <w:numFmt w:val="bullet"/>
      <w:lvlText w:val="▪"/>
      <w:lvlJc w:val="left"/>
      <w:pPr>
        <w:tabs>
          <w:tab w:val="num" w:pos="0"/>
        </w:tabs>
        <w:ind w:left="4320" w:hanging="360"/>
      </w:pPr>
      <w:rPr>
        <w:rFonts w:ascii="OpenSymbol" w:hAnsi="OpenSymbol" w:cs="OpenSymbol" w:hint="default"/>
        <w:strike w:val="false"/>
        <w:dstrike w:val="false"/>
        <w:u w:val="none"/>
        <w:effect w:val="none"/>
      </w:rPr>
    </w:lvl>
    <w:lvl w:ilvl="6">
      <w:start w:val="1"/>
      <w:numFmt w:val="bullet"/>
      <w:lvlText w:val=""/>
      <w:lvlJc w:val="left"/>
      <w:pPr>
        <w:tabs>
          <w:tab w:val="num" w:pos="0"/>
        </w:tabs>
        <w:ind w:left="5040" w:hanging="360"/>
      </w:pPr>
      <w:rPr>
        <w:rFonts w:ascii="Wingdings" w:hAnsi="Wingdings" w:cs="Wingdings" w:hint="default"/>
        <w:strike w:val="false"/>
        <w:dstrike w:val="false"/>
        <w:u w:val="none"/>
        <w:effect w:val="none"/>
      </w:rPr>
    </w:lvl>
    <w:lvl w:ilvl="7">
      <w:start w:val="1"/>
      <w:numFmt w:val="bullet"/>
      <w:lvlText w:val="o"/>
      <w:lvlJc w:val="left"/>
      <w:pPr>
        <w:tabs>
          <w:tab w:val="num" w:pos="0"/>
        </w:tabs>
        <w:ind w:left="5760" w:hanging="360"/>
      </w:pPr>
      <w:rPr>
        <w:rFonts w:ascii="OpenSymbol" w:hAnsi="OpenSymbol" w:cs="OpenSymbol" w:hint="default"/>
        <w:strike w:val="false"/>
        <w:dstrike w:val="false"/>
        <w:u w:val="none"/>
        <w:effect w:val="none"/>
      </w:rPr>
    </w:lvl>
    <w:lvl w:ilvl="8">
      <w:start w:val="1"/>
      <w:numFmt w:val="bullet"/>
      <w:lvlText w:val="▪"/>
      <w:lvlJc w:val="left"/>
      <w:pPr>
        <w:tabs>
          <w:tab w:val="num" w:pos="0"/>
        </w:tabs>
        <w:ind w:left="6480" w:hanging="360"/>
      </w:pPr>
      <w:rPr>
        <w:rFonts w:ascii="OpenSymbol" w:hAnsi="OpenSymbol" w:cs="OpenSymbol" w:hint="default"/>
        <w:strike w:val="false"/>
        <w:dstrike w:val="false"/>
        <w:u w:val="none"/>
        <w:effect w:val="none"/>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77070f"/>
    <w:pPr>
      <w:widowControl w:val="false"/>
      <w:suppressAutoHyphens w:val="tru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Heading1" w:customStyle="1">
    <w:name w:val="heading 1"/>
    <w:basedOn w:val="Normal"/>
    <w:uiPriority w:val="1"/>
    <w:qFormat/>
    <w:rsid w:val="0077070f"/>
    <w:pPr>
      <w:ind w:left="1" w:right="54"/>
      <w:jc w:val="center"/>
      <w:outlineLvl w:val="1"/>
    </w:pPr>
    <w:rPr>
      <w:b/>
      <w:bCs/>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semiHidden/>
    <w:qFormat/>
    <w:rsid w:val="00ad156c"/>
    <w:rPr>
      <w:rFonts w:ascii="Times New Roman" w:hAnsi="Times New Roman" w:eastAsia="Times New Roman" w:cs="Times New Roman"/>
      <w:lang w:val="it-IT"/>
    </w:rPr>
  </w:style>
  <w:style w:type="character" w:styleId="PidipaginaCarattere" w:customStyle="1">
    <w:name w:val="Piè di pagina Carattere"/>
    <w:basedOn w:val="DefaultParagraphFont"/>
    <w:uiPriority w:val="99"/>
    <w:semiHidden/>
    <w:qFormat/>
    <w:rsid w:val="00ad156c"/>
    <w:rPr>
      <w:rFonts w:ascii="Times New Roman" w:hAnsi="Times New Roman" w:eastAsia="Times New Roman" w:cs="Times New Roman"/>
      <w:lang w:val="it-IT"/>
    </w:rPr>
  </w:style>
  <w:style w:type="character" w:styleId="Caratterinotaapidipagina" w:customStyle="1">
    <w:name w:val="Caratteri nota a piè di pagina"/>
    <w:qFormat/>
    <w:rsid w:val="008f510c"/>
    <w:rPr>
      <w:vertAlign w:val="superscript"/>
    </w:rPr>
  </w:style>
  <w:style w:type="character" w:styleId="Caratterinotaapidipaginauser">
    <w:name w:val="Caratteri nota a piè di pagina (user)"/>
    <w:qFormat/>
    <w:rsid w:val="008f510c"/>
    <w:rPr>
      <w:vertAlign w:val="superscript"/>
    </w:rPr>
  </w:style>
  <w:style w:type="character" w:styleId="FootnoteReference">
    <w:name w:val="footnote reference"/>
    <w:rPr>
      <w:vertAlign w:val="superscript"/>
    </w:rPr>
  </w:style>
  <w:style w:type="character" w:styleId="TestonotaapidipaginaCarattere" w:customStyle="1">
    <w:name w:val="Testo nota a piè di pagina Carattere"/>
    <w:basedOn w:val="DefaultParagraphFont"/>
    <w:qFormat/>
    <w:rsid w:val="008f510c"/>
    <w:rPr>
      <w:rFonts w:eastAsia="" w:eastAsiaTheme="minorEastAsia"/>
      <w:sz w:val="20"/>
      <w:szCs w:val="20"/>
      <w:lang w:val="it-IT" w:eastAsia="it-IT"/>
    </w:rPr>
  </w:style>
  <w:style w:type="character" w:styleId="CorpodeltestoCarattere" w:customStyle="1">
    <w:name w:val="Corpo del testo Carattere"/>
    <w:basedOn w:val="DefaultParagraphFont"/>
    <w:uiPriority w:val="1"/>
    <w:qFormat/>
    <w:rsid w:val="005d5c11"/>
    <w:rPr>
      <w:rFonts w:ascii="Times New Roman" w:hAnsi="Times New Roman" w:eastAsia="Times New Roman" w:cs="Times New Roman"/>
      <w:lang w:val="it-IT"/>
    </w:rPr>
  </w:style>
  <w:style w:type="character" w:styleId="Hyperlink">
    <w:name w:val="Hyperlink"/>
    <w:basedOn w:val="DefaultParagraphFont"/>
    <w:uiPriority w:val="99"/>
    <w:unhideWhenUsed/>
    <w:rsid w:val="005d5c11"/>
    <w:rPr>
      <w:color w:themeColor="hyperlink" w:val="0000FF"/>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deltestoCarattere"/>
    <w:uiPriority w:val="1"/>
    <w:qFormat/>
    <w:rsid w:val="0077070f"/>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ListParagraph">
    <w:name w:val="List Paragraph"/>
    <w:basedOn w:val="Normal"/>
    <w:uiPriority w:val="34"/>
    <w:qFormat/>
    <w:rsid w:val="0077070f"/>
    <w:pPr>
      <w:ind w:hanging="360" w:left="788"/>
      <w:jc w:val="both"/>
    </w:pPr>
    <w:rPr/>
  </w:style>
  <w:style w:type="paragraph" w:styleId="TableParagraph" w:customStyle="1">
    <w:name w:val="Table Paragraph"/>
    <w:basedOn w:val="Normal"/>
    <w:uiPriority w:val="1"/>
    <w:qFormat/>
    <w:rsid w:val="0077070f"/>
    <w:pPr/>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semiHidden/>
    <w:unhideWhenUsed/>
    <w:rsid w:val="00ad156c"/>
    <w:pPr>
      <w:tabs>
        <w:tab w:val="clear" w:pos="720"/>
        <w:tab w:val="center" w:pos="4819" w:leader="none"/>
        <w:tab w:val="right" w:pos="9638" w:leader="none"/>
      </w:tabs>
    </w:pPr>
    <w:rPr/>
  </w:style>
  <w:style w:type="paragraph" w:styleId="Footer">
    <w:name w:val="footer"/>
    <w:basedOn w:val="Normal"/>
    <w:link w:val="PidipaginaCarattere"/>
    <w:uiPriority w:val="99"/>
    <w:semiHidden/>
    <w:unhideWhenUsed/>
    <w:rsid w:val="00ad156c"/>
    <w:pPr>
      <w:tabs>
        <w:tab w:val="clear" w:pos="720"/>
        <w:tab w:val="center" w:pos="4819" w:leader="none"/>
        <w:tab w:val="right" w:pos="9638" w:leader="none"/>
      </w:tabs>
    </w:pPr>
    <w:rPr/>
  </w:style>
  <w:style w:type="paragraph" w:styleId="FootnoteText">
    <w:name w:val="footnote text"/>
    <w:basedOn w:val="Normal"/>
    <w:link w:val="TestonotaapidipaginaCarattere"/>
    <w:rsid w:val="008f510c"/>
    <w:pPr>
      <w:widowControl/>
      <w:suppressLineNumbers/>
      <w:suppressAutoHyphens w:val="true"/>
      <w:spacing w:lineRule="auto" w:line="276" w:before="0" w:after="200"/>
      <w:ind w:hanging="339" w:left="339"/>
    </w:pPr>
    <w:rPr>
      <w:rFonts w:ascii="Calibri" w:hAnsi="Calibri" w:eastAsia="" w:cs="" w:asciiTheme="minorHAnsi" w:cstheme="minorBidi" w:eastAsiaTheme="minorEastAsia" w:hAnsiTheme="minorHAnsi"/>
      <w:sz w:val="20"/>
      <w:szCs w:val="20"/>
      <w:lang w:eastAsia="it-IT"/>
    </w:rPr>
  </w:style>
  <w:style w:type="paragraph" w:styleId="Contenutocorniceuser">
    <w:name w:val="Contenuto cornice (user)"/>
    <w:basedOn w:val="Normal"/>
    <w:qFormat/>
    <w:pPr/>
    <w:rPr/>
  </w:style>
  <w:style w:type="paragraph" w:styleId="Contenutocornice">
    <w:name w:val="Contenuto cornice"/>
    <w:basedOn w:val="Normal"/>
    <w:qFormat/>
    <w:pPr/>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77070f"/>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sulentiprivacy@postaleg.it"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LibreOffice/26.2.1.2$Windows_X86_64 LibreOffice_project/620$Build-2</Application>
  <AppVersion>15.0000</AppVersion>
  <Pages>7</Pages>
  <Words>2078</Words>
  <Characters>12558</Characters>
  <CharactersWithSpaces>14660</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2025-12-30T09:06:00Z</dcterms:created>
  <dc:creator>Agnese Grilli</dc:creator>
  <dc:description/>
  <dc:language>it-IT</dc:language>
  <cp:lastModifiedBy/>
  <cp:lastPrinted>2026-10-26T15:16:08Z</cp:lastPrinted>
  <dcterms:modified xsi:type="dcterms:W3CDTF">2026-10-26T15:16:12Z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Writer</vt:lpwstr>
  </property>
  <property fmtid="{D5CDD505-2E9C-101B-9397-08002B2CF9AE}" pid="4" name="LastSaved">
    <vt:filetime>2024-12-19T00:00:00Z</vt:filetime>
  </property>
  <property fmtid="{D5CDD505-2E9C-101B-9397-08002B2CF9AE}" pid="5" name="Producer">
    <vt:lpwstr>LibreOffice 7.3</vt:lpwstr>
  </property>
</Properties>
</file>